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30BF357" wp14:editId="1C83151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C20" w:rsidRDefault="00300C20">
                            <w:r>
                              <w:rPr>
                                <w:noProof/>
                                <w:lang w:eastAsia="en-GB"/>
                              </w:rPr>
                              <w:drawing>
                                <wp:inline distT="0" distB="0" distL="0" distR="0" wp14:anchorId="3A3317C1" wp14:editId="552322A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300C20" w:rsidRDefault="00300C20">
                      <w:r>
                        <w:rPr>
                          <w:noProof/>
                          <w:lang w:eastAsia="en-GB"/>
                        </w:rPr>
                        <w:drawing>
                          <wp:inline distT="0" distB="0" distL="0" distR="0" wp14:anchorId="3A3317C1" wp14:editId="552322A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B3AC7">
        <w:rPr>
          <w:rFonts w:cs="Arial"/>
          <w:b/>
          <w:bCs/>
        </w:rPr>
        <w:t>9 July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4E7477">
        <w:rPr>
          <w:rFonts w:cs="Arial"/>
          <w:b/>
          <w:bCs/>
        </w:rPr>
        <w:t>Housing and Property</w:t>
      </w:r>
    </w:p>
    <w:p w:rsidR="00F4367A" w:rsidRDefault="00F4367A">
      <w:pPr>
        <w:tabs>
          <w:tab w:val="left" w:pos="2160"/>
        </w:tabs>
        <w:rPr>
          <w:rFonts w:cs="Arial"/>
          <w:b/>
          <w:bCs/>
        </w:rPr>
      </w:pPr>
    </w:p>
    <w:p w:rsidR="001B3AC7" w:rsidRDefault="00F4367A">
      <w:pPr>
        <w:tabs>
          <w:tab w:val="left" w:pos="2160"/>
        </w:tabs>
        <w:rPr>
          <w:rFonts w:cs="Arial"/>
          <w:b/>
          <w:bCs/>
        </w:rPr>
      </w:pPr>
      <w:r>
        <w:rPr>
          <w:rFonts w:cs="Arial"/>
          <w:b/>
          <w:bCs/>
        </w:rPr>
        <w:t>Title of Report:</w:t>
      </w:r>
      <w:r>
        <w:rPr>
          <w:rFonts w:cs="Arial"/>
          <w:b/>
          <w:bCs/>
        </w:rPr>
        <w:tab/>
      </w:r>
      <w:r w:rsidR="00C60F3E">
        <w:rPr>
          <w:rFonts w:cs="Arial"/>
          <w:b/>
          <w:bCs/>
        </w:rPr>
        <w:t xml:space="preserve">Options Appraisal- </w:t>
      </w:r>
      <w:proofErr w:type="spellStart"/>
      <w:r w:rsidR="00C60F3E">
        <w:rPr>
          <w:rFonts w:cs="Arial"/>
          <w:b/>
          <w:bCs/>
        </w:rPr>
        <w:t>Cumberlege</w:t>
      </w:r>
      <w:proofErr w:type="spellEnd"/>
      <w:r w:rsidR="00C60F3E">
        <w:rPr>
          <w:rFonts w:cs="Arial"/>
          <w:b/>
          <w:bCs/>
        </w:rPr>
        <w:t xml:space="preserve"> House,</w:t>
      </w:r>
      <w:r w:rsidR="00710525">
        <w:rPr>
          <w:rFonts w:cs="Arial"/>
          <w:b/>
          <w:bCs/>
        </w:rPr>
        <w:t xml:space="preserve"> </w:t>
      </w:r>
      <w:proofErr w:type="spellStart"/>
      <w:r w:rsidR="00C60F3E">
        <w:rPr>
          <w:rFonts w:cs="Arial"/>
          <w:b/>
          <w:bCs/>
        </w:rPr>
        <w:t>Cumberlege</w:t>
      </w:r>
      <w:proofErr w:type="spellEnd"/>
    </w:p>
    <w:p w:rsidR="00F4367A" w:rsidRDefault="001B3AC7">
      <w:pPr>
        <w:tabs>
          <w:tab w:val="left" w:pos="2160"/>
        </w:tabs>
        <w:rPr>
          <w:rFonts w:cs="Arial"/>
          <w:b/>
          <w:bCs/>
        </w:rPr>
      </w:pPr>
      <w:r>
        <w:rPr>
          <w:rFonts w:cs="Arial"/>
          <w:b/>
          <w:bCs/>
        </w:rPr>
        <w:tab/>
      </w:r>
      <w:r w:rsidR="00C60F3E">
        <w:rPr>
          <w:rFonts w:cs="Arial"/>
          <w:b/>
          <w:bCs/>
        </w:rPr>
        <w:t xml:space="preserve">Close, Marston </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987EF6">
      <w:pPr>
        <w:pBdr>
          <w:top w:val="single" w:sz="4" w:space="1" w:color="auto"/>
          <w:left w:val="single" w:sz="4" w:space="4" w:color="auto"/>
          <w:bottom w:val="single" w:sz="4" w:space="1" w:color="auto"/>
          <w:right w:val="single" w:sz="4" w:space="4" w:color="auto"/>
        </w:pBdr>
        <w:ind w:left="2160" w:hanging="2160"/>
        <w:rPr>
          <w:rFonts w:cs="Arial"/>
        </w:rPr>
      </w:pPr>
      <w:r>
        <w:rPr>
          <w:rFonts w:cs="Arial"/>
          <w:b/>
          <w:bCs/>
        </w:rPr>
        <w:t>Purpose of report</w:t>
      </w:r>
      <w:r>
        <w:rPr>
          <w:rFonts w:cs="Arial"/>
        </w:rPr>
        <w:t xml:space="preserve">: </w:t>
      </w:r>
      <w:r w:rsidR="00C60F3E">
        <w:rPr>
          <w:rFonts w:cs="Arial"/>
        </w:rPr>
        <w:t xml:space="preserve">This report sets out the options for </w:t>
      </w:r>
      <w:proofErr w:type="spellStart"/>
      <w:r w:rsidR="00C60F3E">
        <w:rPr>
          <w:rFonts w:cs="Arial"/>
        </w:rPr>
        <w:t>Cumberlege</w:t>
      </w:r>
      <w:proofErr w:type="spellEnd"/>
      <w:r w:rsidR="00C60F3E">
        <w:rPr>
          <w:rFonts w:cs="Arial"/>
        </w:rPr>
        <w:t xml:space="preserve"> House which </w:t>
      </w:r>
      <w:r w:rsidR="00987EF6">
        <w:rPr>
          <w:rFonts w:cs="Arial"/>
        </w:rPr>
        <w:t>i</w:t>
      </w:r>
      <w:r w:rsidR="00C60F3E">
        <w:rPr>
          <w:rFonts w:cs="Arial"/>
        </w:rPr>
        <w:t xml:space="preserve">s </w:t>
      </w:r>
      <w:r w:rsidR="00431F96">
        <w:rPr>
          <w:rFonts w:cs="Arial"/>
        </w:rPr>
        <w:t xml:space="preserve">due to be vacated when </w:t>
      </w:r>
      <w:r w:rsidR="00C6296B">
        <w:rPr>
          <w:rFonts w:cs="Arial"/>
        </w:rPr>
        <w:t xml:space="preserve">the new </w:t>
      </w:r>
      <w:proofErr w:type="spellStart"/>
      <w:r w:rsidR="00C6296B">
        <w:rPr>
          <w:rFonts w:cs="Arial"/>
        </w:rPr>
        <w:t>Bradlands</w:t>
      </w:r>
      <w:proofErr w:type="spellEnd"/>
      <w:r w:rsidR="00C6296B">
        <w:rPr>
          <w:rFonts w:cs="Arial"/>
        </w:rPr>
        <w:t xml:space="preserve"> sheltered housing scheme </w:t>
      </w:r>
      <w:r w:rsidR="00987EF6">
        <w:rPr>
          <w:rFonts w:cs="Arial"/>
        </w:rPr>
        <w:t xml:space="preserve">is </w:t>
      </w:r>
      <w:r w:rsidR="00431F96">
        <w:rPr>
          <w:rFonts w:cs="Arial"/>
        </w:rPr>
        <w:t xml:space="preserve">completed </w:t>
      </w:r>
    </w:p>
    <w:p w:rsidR="00987EF6" w:rsidRDefault="00987EF6" w:rsidP="00987EF6">
      <w:pPr>
        <w:pBdr>
          <w:top w:val="single" w:sz="4" w:space="1" w:color="auto"/>
          <w:left w:val="single" w:sz="4" w:space="4" w:color="auto"/>
          <w:bottom w:val="single" w:sz="4" w:space="1" w:color="auto"/>
          <w:right w:val="single" w:sz="4" w:space="4" w:color="auto"/>
        </w:pBdr>
        <w:ind w:left="2160" w:hanging="2160"/>
        <w:rPr>
          <w:rFonts w:cs="Arial"/>
        </w:rPr>
      </w:pPr>
    </w:p>
    <w:p w:rsidR="00F4367A" w:rsidRPr="00C6296B" w:rsidRDefault="00623C2F">
      <w:pPr>
        <w:pStyle w:val="Heading1"/>
        <w:pBdr>
          <w:top w:val="single" w:sz="4" w:space="1" w:color="auto"/>
          <w:left w:val="single" w:sz="4" w:space="4" w:color="auto"/>
          <w:bottom w:val="single" w:sz="4" w:space="1" w:color="auto"/>
          <w:right w:val="single" w:sz="4" w:space="4" w:color="auto"/>
        </w:pBdr>
        <w:tabs>
          <w:tab w:val="left" w:pos="3062"/>
        </w:tabs>
        <w:rPr>
          <w:b w:val="0"/>
          <w:bCs w:val="0"/>
        </w:rPr>
      </w:pPr>
      <w:r>
        <w:rPr>
          <w:bCs w:val="0"/>
        </w:rPr>
        <w:t>Key decision</w:t>
      </w:r>
      <w:r w:rsidR="00C6296B">
        <w:rPr>
          <w:bCs w:val="0"/>
        </w:rPr>
        <w:t>:</w:t>
      </w:r>
      <w:r w:rsidR="00C6296B" w:rsidRPr="00C6296B">
        <w:rPr>
          <w:b w:val="0"/>
          <w:bCs w:val="0"/>
        </w:rPr>
        <w:t xml:space="preserve"> </w:t>
      </w:r>
      <w:r w:rsidR="00431F96">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C6296B"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5E2917" w:rsidRPr="005E2917">
        <w:rPr>
          <w:rFonts w:cs="Arial"/>
          <w:bCs/>
        </w:rPr>
        <w:t xml:space="preserve">Councillor Scott </w:t>
      </w:r>
      <w:proofErr w:type="spellStart"/>
      <w:r w:rsidR="005E2917" w:rsidRPr="005E2917">
        <w:rPr>
          <w:rFonts w:cs="Arial"/>
          <w:bCs/>
        </w:rPr>
        <w:t>Seamons</w:t>
      </w:r>
      <w:proofErr w:type="spellEnd"/>
      <w:r w:rsidR="00160144">
        <w:rPr>
          <w:rFonts w:cs="Arial"/>
          <w:bCs/>
        </w:rPr>
        <w:t>, Executive Board Member for Housing</w:t>
      </w:r>
    </w:p>
    <w:p w:rsidR="00F4367A" w:rsidRDefault="00F4367A">
      <w:pPr>
        <w:pStyle w:val="Heading1"/>
        <w:pBdr>
          <w:top w:val="single" w:sz="4" w:space="1" w:color="auto"/>
          <w:left w:val="single" w:sz="4" w:space="4" w:color="auto"/>
          <w:bottom w:val="single" w:sz="4" w:space="1" w:color="auto"/>
          <w:right w:val="single" w:sz="4" w:space="4" w:color="auto"/>
        </w:pBdr>
      </w:pPr>
      <w:bookmarkStart w:id="0" w:name="_GoBack"/>
      <w:bookmarkEnd w:id="0"/>
    </w:p>
    <w:p w:rsidR="00431F96" w:rsidRDefault="00F4367A" w:rsidP="00431F96">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5E2917" w:rsidRPr="00C6296B">
        <w:rPr>
          <w:rFonts w:cs="Arial"/>
          <w:bCs/>
        </w:rPr>
        <w:t>Meeting Housing Need</w:t>
      </w:r>
    </w:p>
    <w:p w:rsidR="00431F96" w:rsidRDefault="00431F96" w:rsidP="00431F96">
      <w:pPr>
        <w:pBdr>
          <w:top w:val="single" w:sz="4" w:space="1" w:color="auto"/>
          <w:left w:val="single" w:sz="4" w:space="4" w:color="auto"/>
          <w:bottom w:val="single" w:sz="4" w:space="1" w:color="auto"/>
          <w:right w:val="single" w:sz="4" w:space="4" w:color="auto"/>
        </w:pBdr>
        <w:rPr>
          <w:rFonts w:cs="Arial"/>
          <w:bCs/>
        </w:rPr>
      </w:pPr>
    </w:p>
    <w:p w:rsidR="00431F96" w:rsidRDefault="00987EF6" w:rsidP="00431F96">
      <w:pPr>
        <w:pBdr>
          <w:top w:val="single" w:sz="4" w:space="1" w:color="auto"/>
          <w:left w:val="single" w:sz="4" w:space="4" w:color="auto"/>
          <w:bottom w:val="single" w:sz="4" w:space="1" w:color="auto"/>
          <w:right w:val="single" w:sz="4" w:space="4" w:color="auto"/>
        </w:pBdr>
        <w:rPr>
          <w:rFonts w:cs="Arial"/>
          <w:b/>
          <w:bCs/>
        </w:rPr>
      </w:pPr>
      <w:r>
        <w:rPr>
          <w:rFonts w:cs="Arial"/>
          <w:b/>
          <w:bCs/>
        </w:rPr>
        <w:t>Recommendation</w:t>
      </w:r>
      <w:r w:rsidR="00F64283">
        <w:rPr>
          <w:rFonts w:cs="Arial"/>
          <w:b/>
          <w:bCs/>
        </w:rPr>
        <w:t>s</w:t>
      </w:r>
      <w:r>
        <w:rPr>
          <w:rFonts w:cs="Arial"/>
          <w:b/>
          <w:bCs/>
        </w:rPr>
        <w:t>:</w:t>
      </w:r>
    </w:p>
    <w:p w:rsidR="00431F96" w:rsidRDefault="00431F96" w:rsidP="00431F96">
      <w:pPr>
        <w:pBdr>
          <w:top w:val="single" w:sz="4" w:space="1" w:color="auto"/>
          <w:left w:val="single" w:sz="4" w:space="4" w:color="auto"/>
          <w:bottom w:val="single" w:sz="4" w:space="1" w:color="auto"/>
          <w:right w:val="single" w:sz="4" w:space="4" w:color="auto"/>
        </w:pBdr>
        <w:rPr>
          <w:rFonts w:cs="Arial"/>
          <w:b/>
          <w:bCs/>
        </w:rPr>
      </w:pPr>
    </w:p>
    <w:p w:rsidR="004E7477" w:rsidRPr="00F64283" w:rsidRDefault="004E7477" w:rsidP="00F64283">
      <w:pPr>
        <w:pStyle w:val="ListParagraph"/>
        <w:numPr>
          <w:ilvl w:val="0"/>
          <w:numId w:val="11"/>
        </w:numPr>
        <w:pBdr>
          <w:top w:val="single" w:sz="4" w:space="1" w:color="auto"/>
          <w:left w:val="single" w:sz="4" w:space="4" w:color="auto"/>
          <w:bottom w:val="single" w:sz="4" w:space="1" w:color="auto"/>
          <w:right w:val="single" w:sz="4" w:space="4" w:color="auto"/>
        </w:pBdr>
        <w:ind w:left="360"/>
        <w:rPr>
          <w:rFonts w:cs="Arial"/>
          <w:bCs/>
        </w:rPr>
      </w:pPr>
      <w:r w:rsidRPr="00F64283">
        <w:rPr>
          <w:rFonts w:cs="Arial"/>
          <w:bCs/>
        </w:rPr>
        <w:t xml:space="preserve">Not to pursue the disposal of </w:t>
      </w:r>
      <w:proofErr w:type="spellStart"/>
      <w:r w:rsidRPr="00F64283">
        <w:rPr>
          <w:rFonts w:cs="Arial"/>
          <w:bCs/>
        </w:rPr>
        <w:t>Cumberlege</w:t>
      </w:r>
      <w:proofErr w:type="spellEnd"/>
      <w:r w:rsidRPr="00F64283">
        <w:rPr>
          <w:rFonts w:cs="Arial"/>
          <w:bCs/>
        </w:rPr>
        <w:t xml:space="preserve"> </w:t>
      </w:r>
      <w:r w:rsidR="00431F96" w:rsidRPr="00F64283">
        <w:rPr>
          <w:rFonts w:cs="Arial"/>
          <w:bCs/>
        </w:rPr>
        <w:t xml:space="preserve">House </w:t>
      </w:r>
      <w:r w:rsidRPr="00F64283">
        <w:rPr>
          <w:rFonts w:cs="Arial"/>
          <w:bCs/>
        </w:rPr>
        <w:t>as approved in</w:t>
      </w:r>
      <w:r w:rsidR="00431F96" w:rsidRPr="00F64283">
        <w:rPr>
          <w:rFonts w:cs="Arial"/>
          <w:bCs/>
        </w:rPr>
        <w:t xml:space="preserve"> </w:t>
      </w:r>
      <w:r w:rsidRPr="00F64283">
        <w:rPr>
          <w:rFonts w:cs="Arial"/>
          <w:bCs/>
        </w:rPr>
        <w:t>principle by</w:t>
      </w:r>
      <w:r w:rsidR="00431F96" w:rsidRPr="00F64283">
        <w:rPr>
          <w:rFonts w:cs="Arial"/>
          <w:bCs/>
        </w:rPr>
        <w:t xml:space="preserve"> </w:t>
      </w:r>
      <w:r w:rsidRPr="00F64283">
        <w:rPr>
          <w:rFonts w:cs="Arial"/>
          <w:bCs/>
        </w:rPr>
        <w:t>E</w:t>
      </w:r>
      <w:r w:rsidR="00431F96" w:rsidRPr="00F64283">
        <w:rPr>
          <w:rFonts w:cs="Arial"/>
          <w:bCs/>
        </w:rPr>
        <w:t>xecutive Board</w:t>
      </w:r>
      <w:r w:rsidRPr="00F64283">
        <w:rPr>
          <w:rFonts w:cs="Arial"/>
          <w:bCs/>
        </w:rPr>
        <w:t xml:space="preserve"> in November 2007</w:t>
      </w:r>
      <w:r w:rsidR="00F64283" w:rsidRPr="00F64283">
        <w:rPr>
          <w:rFonts w:cs="Arial"/>
          <w:bCs/>
        </w:rPr>
        <w:t>;</w:t>
      </w:r>
      <w:r w:rsidRPr="00F64283">
        <w:rPr>
          <w:rFonts w:cs="Arial"/>
          <w:bCs/>
        </w:rPr>
        <w:t xml:space="preserve"> </w:t>
      </w:r>
    </w:p>
    <w:p w:rsidR="00431F96" w:rsidRPr="001B3AC7" w:rsidRDefault="00431F96" w:rsidP="00F64283">
      <w:pPr>
        <w:pBdr>
          <w:top w:val="single" w:sz="4" w:space="1" w:color="auto"/>
          <w:left w:val="single" w:sz="4" w:space="4" w:color="auto"/>
          <w:bottom w:val="single" w:sz="4" w:space="1" w:color="auto"/>
          <w:right w:val="single" w:sz="4" w:space="4" w:color="auto"/>
        </w:pBdr>
        <w:rPr>
          <w:rFonts w:cs="Arial"/>
          <w:bCs/>
        </w:rPr>
      </w:pPr>
    </w:p>
    <w:p w:rsidR="005C4D93" w:rsidRDefault="00987EF6" w:rsidP="00F64283">
      <w:pPr>
        <w:pStyle w:val="ListParagraph"/>
        <w:numPr>
          <w:ilvl w:val="0"/>
          <w:numId w:val="11"/>
        </w:numPr>
        <w:pBdr>
          <w:top w:val="single" w:sz="4" w:space="1" w:color="auto"/>
          <w:left w:val="single" w:sz="4" w:space="4" w:color="auto"/>
          <w:bottom w:val="single" w:sz="4" w:space="1" w:color="auto"/>
          <w:right w:val="single" w:sz="4" w:space="4" w:color="auto"/>
        </w:pBdr>
        <w:ind w:left="360"/>
        <w:rPr>
          <w:rFonts w:cs="Arial"/>
          <w:bCs/>
        </w:rPr>
      </w:pPr>
      <w:r w:rsidRPr="00F64283">
        <w:rPr>
          <w:rFonts w:cs="Arial"/>
          <w:bCs/>
        </w:rPr>
        <w:t xml:space="preserve">To adopt Option </w:t>
      </w:r>
      <w:r w:rsidR="002813F2" w:rsidRPr="00F64283">
        <w:rPr>
          <w:rFonts w:cs="Arial"/>
          <w:bCs/>
        </w:rPr>
        <w:t>4</w:t>
      </w:r>
      <w:r w:rsidRPr="00F64283">
        <w:rPr>
          <w:rFonts w:cs="Arial"/>
          <w:bCs/>
        </w:rPr>
        <w:t xml:space="preserve"> </w:t>
      </w:r>
      <w:r w:rsidR="001D68A4" w:rsidRPr="00F64283">
        <w:rPr>
          <w:rFonts w:cs="Arial"/>
          <w:bCs/>
        </w:rPr>
        <w:t xml:space="preserve">in principle </w:t>
      </w:r>
      <w:r w:rsidR="00AE5BA4" w:rsidRPr="00F64283">
        <w:rPr>
          <w:rFonts w:cs="Arial"/>
          <w:bCs/>
        </w:rPr>
        <w:t>as set out in this report</w:t>
      </w:r>
      <w:r w:rsidR="00C6296B" w:rsidRPr="00F64283">
        <w:rPr>
          <w:rFonts w:cs="Arial"/>
          <w:bCs/>
        </w:rPr>
        <w:t xml:space="preserve">– to </w:t>
      </w:r>
      <w:r w:rsidRPr="00F64283">
        <w:rPr>
          <w:rFonts w:cs="Arial"/>
          <w:bCs/>
        </w:rPr>
        <w:t xml:space="preserve">redevelop </w:t>
      </w:r>
      <w:proofErr w:type="spellStart"/>
      <w:r w:rsidRPr="00F64283">
        <w:rPr>
          <w:rFonts w:cs="Arial"/>
          <w:bCs/>
        </w:rPr>
        <w:t>Cumberlege</w:t>
      </w:r>
      <w:proofErr w:type="spellEnd"/>
      <w:r w:rsidRPr="00F64283">
        <w:rPr>
          <w:rFonts w:cs="Arial"/>
          <w:bCs/>
        </w:rPr>
        <w:t xml:space="preserve"> House for </w:t>
      </w:r>
      <w:r w:rsidR="00C6296B" w:rsidRPr="00F64283">
        <w:rPr>
          <w:rFonts w:cs="Arial"/>
          <w:bCs/>
        </w:rPr>
        <w:t>new Council h</w:t>
      </w:r>
      <w:r w:rsidRPr="00F64283">
        <w:rPr>
          <w:rFonts w:cs="Arial"/>
          <w:bCs/>
        </w:rPr>
        <w:t>ousing</w:t>
      </w:r>
      <w:r w:rsidR="00C6296B" w:rsidRPr="00F64283">
        <w:rPr>
          <w:rFonts w:cs="Arial"/>
          <w:bCs/>
        </w:rPr>
        <w:t xml:space="preserve"> </w:t>
      </w:r>
      <w:r w:rsidR="004E7477" w:rsidRPr="00F64283">
        <w:rPr>
          <w:rFonts w:cs="Arial"/>
          <w:bCs/>
        </w:rPr>
        <w:t xml:space="preserve">and </w:t>
      </w:r>
      <w:r w:rsidR="00AE5BA4" w:rsidRPr="00F64283">
        <w:rPr>
          <w:rFonts w:cs="Arial"/>
          <w:bCs/>
        </w:rPr>
        <w:t xml:space="preserve">in consultation with the Council’s S151 officer </w:t>
      </w:r>
      <w:r w:rsidR="00C6296B" w:rsidRPr="00F64283">
        <w:rPr>
          <w:rFonts w:cs="Arial"/>
          <w:bCs/>
        </w:rPr>
        <w:t xml:space="preserve">to </w:t>
      </w:r>
      <w:r w:rsidR="005C4D93" w:rsidRPr="00F64283">
        <w:rPr>
          <w:rFonts w:cs="Arial"/>
          <w:bCs/>
        </w:rPr>
        <w:t>include the scheme in the HRA new build development</w:t>
      </w:r>
      <w:r w:rsidR="00EA2CA9" w:rsidRPr="00F64283">
        <w:rPr>
          <w:rFonts w:cs="Arial"/>
          <w:bCs/>
        </w:rPr>
        <w:t xml:space="preserve"> </w:t>
      </w:r>
      <w:r w:rsidR="005C4D93" w:rsidRPr="00F64283">
        <w:rPr>
          <w:rFonts w:cs="Arial"/>
          <w:bCs/>
        </w:rPr>
        <w:t>programme 2015-18</w:t>
      </w:r>
      <w:r w:rsidR="00343254" w:rsidRPr="00F64283">
        <w:rPr>
          <w:rFonts w:cs="Arial"/>
          <w:bCs/>
        </w:rPr>
        <w:t>, subject to a reassessment of the Council’s HRA investment priorities</w:t>
      </w:r>
      <w:r w:rsidR="00F64283" w:rsidRPr="00F64283">
        <w:rPr>
          <w:rFonts w:cs="Arial"/>
          <w:bCs/>
        </w:rPr>
        <w:t>;</w:t>
      </w:r>
    </w:p>
    <w:p w:rsidR="00457C07" w:rsidRPr="00457C07" w:rsidRDefault="00457C07" w:rsidP="00457C07">
      <w:pPr>
        <w:pBdr>
          <w:top w:val="single" w:sz="4" w:space="1" w:color="auto"/>
          <w:left w:val="single" w:sz="4" w:space="4" w:color="auto"/>
          <w:bottom w:val="single" w:sz="4" w:space="1" w:color="auto"/>
          <w:right w:val="single" w:sz="4" w:space="4" w:color="auto"/>
        </w:pBdr>
        <w:rPr>
          <w:rFonts w:cs="Arial"/>
          <w:bCs/>
        </w:rPr>
      </w:pPr>
    </w:p>
    <w:p w:rsidR="00431F96" w:rsidRPr="00F64283" w:rsidRDefault="005C4D93" w:rsidP="00F64283">
      <w:pPr>
        <w:pStyle w:val="ListParagraph"/>
        <w:numPr>
          <w:ilvl w:val="0"/>
          <w:numId w:val="11"/>
        </w:numPr>
        <w:pBdr>
          <w:top w:val="single" w:sz="4" w:space="1" w:color="auto"/>
          <w:left w:val="single" w:sz="4" w:space="4" w:color="auto"/>
          <w:bottom w:val="single" w:sz="4" w:space="1" w:color="auto"/>
          <w:right w:val="single" w:sz="4" w:space="4" w:color="auto"/>
        </w:pBdr>
        <w:ind w:left="360"/>
        <w:rPr>
          <w:rFonts w:cs="Arial"/>
          <w:bCs/>
        </w:rPr>
      </w:pPr>
      <w:r w:rsidRPr="00F64283">
        <w:rPr>
          <w:rFonts w:cs="Arial"/>
          <w:bCs/>
        </w:rPr>
        <w:t xml:space="preserve">To approve the demolition of </w:t>
      </w:r>
      <w:proofErr w:type="spellStart"/>
      <w:r w:rsidRPr="00F64283">
        <w:rPr>
          <w:rFonts w:cs="Arial"/>
          <w:bCs/>
        </w:rPr>
        <w:t>Cumberlege</w:t>
      </w:r>
      <w:proofErr w:type="spellEnd"/>
      <w:r w:rsidRPr="00F64283">
        <w:rPr>
          <w:rFonts w:cs="Arial"/>
          <w:bCs/>
        </w:rPr>
        <w:t xml:space="preserve"> House and instruct </w:t>
      </w:r>
      <w:r w:rsidR="00431F96" w:rsidRPr="00F64283">
        <w:rPr>
          <w:rFonts w:cs="Arial"/>
          <w:bCs/>
        </w:rPr>
        <w:t>the H</w:t>
      </w:r>
      <w:r w:rsidR="002813F2" w:rsidRPr="00F64283">
        <w:rPr>
          <w:rFonts w:cs="Arial"/>
          <w:bCs/>
        </w:rPr>
        <w:t xml:space="preserve">ead of Housing and Property to procure and enter into contract to enable </w:t>
      </w:r>
      <w:r w:rsidR="005409E1" w:rsidRPr="00F64283">
        <w:rPr>
          <w:rFonts w:cs="Arial"/>
          <w:bCs/>
        </w:rPr>
        <w:t>demolition</w:t>
      </w:r>
      <w:r w:rsidR="00F64283" w:rsidRPr="00F64283">
        <w:rPr>
          <w:rFonts w:cs="Arial"/>
          <w:bCs/>
        </w:rPr>
        <w:t xml:space="preserve"> </w:t>
      </w:r>
      <w:r w:rsidR="00C065E2" w:rsidRPr="00F64283">
        <w:rPr>
          <w:rFonts w:cs="Arial"/>
          <w:bCs/>
        </w:rPr>
        <w:t>w</w:t>
      </w:r>
      <w:r w:rsidR="00F8181B" w:rsidRPr="00F64283">
        <w:rPr>
          <w:rFonts w:cs="Arial"/>
          <w:bCs/>
        </w:rPr>
        <w:t>orks</w:t>
      </w:r>
      <w:r w:rsidR="00C065E2" w:rsidRPr="00F64283">
        <w:rPr>
          <w:rFonts w:cs="Arial"/>
          <w:bCs/>
        </w:rPr>
        <w:t xml:space="preserve"> </w:t>
      </w:r>
      <w:r w:rsidR="002813F2" w:rsidRPr="00F64283">
        <w:rPr>
          <w:rFonts w:cs="Arial"/>
          <w:bCs/>
        </w:rPr>
        <w:t>to</w:t>
      </w:r>
      <w:r w:rsidR="00F8181B" w:rsidRPr="00F64283">
        <w:rPr>
          <w:rFonts w:cs="Arial"/>
          <w:bCs/>
        </w:rPr>
        <w:t xml:space="preserve"> s</w:t>
      </w:r>
      <w:r w:rsidR="002813F2" w:rsidRPr="00F64283">
        <w:rPr>
          <w:rFonts w:cs="Arial"/>
          <w:bCs/>
        </w:rPr>
        <w:t xml:space="preserve">tart </w:t>
      </w:r>
      <w:r w:rsidR="00431F96" w:rsidRPr="00F64283">
        <w:rPr>
          <w:rFonts w:cs="Arial"/>
          <w:bCs/>
        </w:rPr>
        <w:t xml:space="preserve">either </w:t>
      </w:r>
      <w:r w:rsidR="002813F2" w:rsidRPr="00F64283">
        <w:rPr>
          <w:rFonts w:cs="Arial"/>
          <w:bCs/>
        </w:rPr>
        <w:t>as s</w:t>
      </w:r>
      <w:r w:rsidRPr="00F64283">
        <w:rPr>
          <w:rFonts w:cs="Arial"/>
          <w:bCs/>
        </w:rPr>
        <w:t>oon as the property is vacated</w:t>
      </w:r>
      <w:r w:rsidR="00431F96" w:rsidRPr="00F64283">
        <w:rPr>
          <w:rFonts w:cs="Arial"/>
          <w:bCs/>
        </w:rPr>
        <w:t xml:space="preserve"> or</w:t>
      </w:r>
      <w:r w:rsidR="005409E1" w:rsidRPr="00F64283">
        <w:rPr>
          <w:rFonts w:cs="Arial"/>
          <w:bCs/>
        </w:rPr>
        <w:t xml:space="preserve">, should a </w:t>
      </w:r>
      <w:r w:rsidR="00F8181B" w:rsidRPr="00F64283">
        <w:rPr>
          <w:rFonts w:cs="Arial"/>
          <w:bCs/>
        </w:rPr>
        <w:t>short</w:t>
      </w:r>
      <w:r w:rsidR="00F64283" w:rsidRPr="00F64283">
        <w:rPr>
          <w:rFonts w:cs="Arial"/>
          <w:bCs/>
        </w:rPr>
        <w:t xml:space="preserve"> </w:t>
      </w:r>
      <w:r w:rsidR="005409E1" w:rsidRPr="00F64283">
        <w:rPr>
          <w:rFonts w:cs="Arial"/>
          <w:bCs/>
        </w:rPr>
        <w:t xml:space="preserve">term lease be agreed, </w:t>
      </w:r>
      <w:r w:rsidR="00431F96" w:rsidRPr="00F64283">
        <w:rPr>
          <w:rFonts w:cs="Arial"/>
          <w:bCs/>
        </w:rPr>
        <w:t xml:space="preserve"> as set ou</w:t>
      </w:r>
      <w:r w:rsidR="001B3AC7" w:rsidRPr="00F64283">
        <w:rPr>
          <w:rFonts w:cs="Arial"/>
          <w:bCs/>
        </w:rPr>
        <w:t>t</w:t>
      </w:r>
      <w:r w:rsidR="00431F96" w:rsidRPr="00F64283">
        <w:rPr>
          <w:rFonts w:cs="Arial"/>
          <w:bCs/>
        </w:rPr>
        <w:t xml:space="preserve"> in</w:t>
      </w:r>
      <w:r w:rsidR="001B3AC7" w:rsidRPr="00F64283">
        <w:rPr>
          <w:rFonts w:cs="Arial"/>
          <w:bCs/>
        </w:rPr>
        <w:t xml:space="preserve"> </w:t>
      </w:r>
      <w:r w:rsidR="00431F96" w:rsidRPr="00F64283">
        <w:rPr>
          <w:rFonts w:cs="Arial"/>
          <w:bCs/>
        </w:rPr>
        <w:t>section</w:t>
      </w:r>
      <w:r w:rsidR="001B3AC7" w:rsidRPr="00F64283">
        <w:rPr>
          <w:rFonts w:cs="Arial"/>
          <w:bCs/>
        </w:rPr>
        <w:t xml:space="preserve">s </w:t>
      </w:r>
      <w:r w:rsidR="004B3743" w:rsidRPr="00F64283">
        <w:rPr>
          <w:rFonts w:cs="Arial"/>
          <w:bCs/>
        </w:rPr>
        <w:t>18-19</w:t>
      </w:r>
      <w:r w:rsidR="001B3AC7" w:rsidRPr="00F64283">
        <w:rPr>
          <w:rFonts w:cs="Arial"/>
          <w:bCs/>
        </w:rPr>
        <w:t xml:space="preserve"> of the report</w:t>
      </w:r>
      <w:r w:rsidR="005409E1" w:rsidRPr="00F64283">
        <w:rPr>
          <w:rFonts w:cs="Arial"/>
          <w:bCs/>
        </w:rPr>
        <w:t>, then after</w:t>
      </w:r>
      <w:r w:rsidR="00C065E2" w:rsidRPr="00F64283">
        <w:rPr>
          <w:rFonts w:cs="Arial"/>
          <w:bCs/>
        </w:rPr>
        <w:t xml:space="preserve"> </w:t>
      </w:r>
      <w:r w:rsidR="005409E1" w:rsidRPr="00F64283">
        <w:rPr>
          <w:rFonts w:cs="Arial"/>
          <w:bCs/>
        </w:rPr>
        <w:t>that lease end date and prior to the development start on site</w:t>
      </w:r>
      <w:r w:rsidR="00EA2CA9" w:rsidRPr="00F64283">
        <w:rPr>
          <w:rFonts w:cs="Arial"/>
          <w:bCs/>
        </w:rPr>
        <w:t>; and in any case after the impact of the Right to Buy extension has been fully assessed</w:t>
      </w:r>
      <w:r w:rsidR="00F64283" w:rsidRPr="00F64283">
        <w:rPr>
          <w:rFonts w:cs="Arial"/>
          <w:bCs/>
        </w:rPr>
        <w:t>;</w:t>
      </w:r>
    </w:p>
    <w:p w:rsidR="00BD2753" w:rsidRPr="00F64283" w:rsidRDefault="00431F96" w:rsidP="00F64283">
      <w:pPr>
        <w:pStyle w:val="ListParagraph"/>
        <w:numPr>
          <w:ilvl w:val="0"/>
          <w:numId w:val="11"/>
        </w:numPr>
        <w:pBdr>
          <w:top w:val="single" w:sz="4" w:space="1" w:color="auto"/>
          <w:left w:val="single" w:sz="4" w:space="4" w:color="auto"/>
          <w:bottom w:val="single" w:sz="4" w:space="1" w:color="auto"/>
          <w:right w:val="single" w:sz="4" w:space="4" w:color="auto"/>
        </w:pBdr>
        <w:ind w:left="360"/>
        <w:rPr>
          <w:rFonts w:cs="Arial"/>
          <w:bCs/>
        </w:rPr>
      </w:pPr>
      <w:r w:rsidRPr="00F64283">
        <w:rPr>
          <w:rFonts w:cs="Arial"/>
          <w:bCs/>
        </w:rPr>
        <w:lastRenderedPageBreak/>
        <w:t>To</w:t>
      </w:r>
      <w:r w:rsidR="005C4D93" w:rsidRPr="00F64283">
        <w:rPr>
          <w:rFonts w:cs="Arial"/>
          <w:bCs/>
        </w:rPr>
        <w:t xml:space="preserve"> </w:t>
      </w:r>
      <w:r w:rsidR="00BD2753" w:rsidRPr="00F64283">
        <w:rPr>
          <w:rFonts w:cs="Arial"/>
          <w:bCs/>
        </w:rPr>
        <w:t xml:space="preserve">grant delegated authority to </w:t>
      </w:r>
      <w:r w:rsidR="00AE5BA4" w:rsidRPr="00F64283">
        <w:rPr>
          <w:rFonts w:cs="Arial"/>
          <w:bCs/>
        </w:rPr>
        <w:t xml:space="preserve">the Head of Housing and Property </w:t>
      </w:r>
      <w:r w:rsidR="00BD2753" w:rsidRPr="00F64283">
        <w:rPr>
          <w:rFonts w:cs="Arial"/>
          <w:bCs/>
        </w:rPr>
        <w:t xml:space="preserve">to </w:t>
      </w:r>
      <w:r w:rsidR="00F64283" w:rsidRPr="00F64283">
        <w:rPr>
          <w:rFonts w:cs="Arial"/>
          <w:bCs/>
        </w:rPr>
        <w:t>n</w:t>
      </w:r>
      <w:r w:rsidR="00BD2753" w:rsidRPr="00F64283">
        <w:rPr>
          <w:rFonts w:cs="Arial"/>
          <w:bCs/>
        </w:rPr>
        <w:t xml:space="preserve">egotiate and enter into a </w:t>
      </w:r>
      <w:r w:rsidR="002813F2" w:rsidRPr="00F64283">
        <w:rPr>
          <w:rFonts w:cs="Arial"/>
          <w:bCs/>
        </w:rPr>
        <w:t xml:space="preserve">fixed term </w:t>
      </w:r>
      <w:r w:rsidR="00BD2753" w:rsidRPr="00F64283">
        <w:rPr>
          <w:rFonts w:cs="Arial"/>
          <w:bCs/>
        </w:rPr>
        <w:t>lease</w:t>
      </w:r>
      <w:r w:rsidR="005409E1" w:rsidRPr="00F64283">
        <w:rPr>
          <w:rFonts w:cs="Arial"/>
          <w:bCs/>
        </w:rPr>
        <w:t>, should a suitable le</w:t>
      </w:r>
      <w:r w:rsidR="00F8181B" w:rsidRPr="00F64283">
        <w:rPr>
          <w:rFonts w:cs="Arial"/>
          <w:bCs/>
        </w:rPr>
        <w:t>s</w:t>
      </w:r>
      <w:r w:rsidR="005409E1" w:rsidRPr="00F64283">
        <w:rPr>
          <w:rFonts w:cs="Arial"/>
          <w:bCs/>
        </w:rPr>
        <w:t>see be identified within a two month period</w:t>
      </w:r>
      <w:r w:rsidR="002813F2" w:rsidRPr="00F64283">
        <w:rPr>
          <w:rFonts w:cs="Arial"/>
          <w:bCs/>
        </w:rPr>
        <w:t>.</w:t>
      </w:r>
    </w:p>
    <w:p w:rsidR="00710525" w:rsidRDefault="00710525" w:rsidP="008E20EB">
      <w:pPr>
        <w:pBdr>
          <w:top w:val="single" w:sz="4" w:space="1" w:color="auto"/>
          <w:left w:val="single" w:sz="4" w:space="4" w:color="auto"/>
          <w:bottom w:val="single" w:sz="4" w:space="1" w:color="auto"/>
          <w:right w:val="single" w:sz="4" w:space="4" w:color="auto"/>
        </w:pBdr>
        <w:ind w:left="2127" w:hanging="2127"/>
        <w:rPr>
          <w:rFonts w:cs="Arial"/>
          <w:b/>
        </w:rPr>
      </w:pPr>
    </w:p>
    <w:p w:rsidR="00F64283" w:rsidRDefault="00F64283">
      <w:pPr>
        <w:rPr>
          <w:rFonts w:cs="Arial"/>
          <w:b/>
        </w:rPr>
      </w:pPr>
    </w:p>
    <w:p w:rsidR="000966D3" w:rsidRDefault="00713675">
      <w:pPr>
        <w:rPr>
          <w:rFonts w:cs="Arial"/>
        </w:rPr>
      </w:pPr>
      <w:r w:rsidRPr="007B6E54">
        <w:rPr>
          <w:rFonts w:cs="Arial"/>
          <w:b/>
        </w:rPr>
        <w:t>Appendices</w:t>
      </w:r>
      <w:r w:rsidR="000966D3">
        <w:rPr>
          <w:rFonts w:cs="Arial"/>
          <w:b/>
        </w:rPr>
        <w:t>:</w:t>
      </w:r>
    </w:p>
    <w:p w:rsidR="00C6296B" w:rsidRDefault="00C6296B">
      <w:pPr>
        <w:rPr>
          <w:rFonts w:cs="Arial"/>
        </w:rPr>
      </w:pPr>
      <w:r>
        <w:rPr>
          <w:rFonts w:cs="Arial"/>
        </w:rPr>
        <w:t xml:space="preserve">Appendix 1 </w:t>
      </w:r>
      <w:r w:rsidR="000966D3">
        <w:rPr>
          <w:rFonts w:cs="Arial"/>
        </w:rPr>
        <w:t>-</w:t>
      </w:r>
      <w:r>
        <w:rPr>
          <w:rFonts w:cs="Arial"/>
        </w:rPr>
        <w:t xml:space="preserve"> Site Plan</w:t>
      </w:r>
    </w:p>
    <w:p w:rsidR="00713675" w:rsidRDefault="00C6296B">
      <w:pPr>
        <w:rPr>
          <w:rFonts w:cs="Arial"/>
        </w:rPr>
      </w:pPr>
      <w:r>
        <w:rPr>
          <w:rFonts w:cs="Arial"/>
        </w:rPr>
        <w:t xml:space="preserve">Appendix </w:t>
      </w:r>
      <w:r w:rsidR="002104F3">
        <w:rPr>
          <w:rFonts w:cs="Arial"/>
        </w:rPr>
        <w:t>2</w:t>
      </w:r>
      <w:r>
        <w:rPr>
          <w:rFonts w:cs="Arial"/>
        </w:rPr>
        <w:t xml:space="preserve"> - </w:t>
      </w:r>
      <w:r w:rsidR="007B6E54">
        <w:rPr>
          <w:rFonts w:cs="Arial"/>
        </w:rPr>
        <w:t>Risk Register</w:t>
      </w:r>
    </w:p>
    <w:p w:rsidR="007B6E54" w:rsidRDefault="007B6E54">
      <w:pPr>
        <w:rPr>
          <w:rFonts w:cs="Arial"/>
        </w:rPr>
      </w:pPr>
      <w:r>
        <w:rPr>
          <w:rFonts w:cs="Arial"/>
        </w:rPr>
        <w:t xml:space="preserve">Appendix </w:t>
      </w:r>
      <w:r w:rsidR="002104F3">
        <w:rPr>
          <w:rFonts w:cs="Arial"/>
        </w:rPr>
        <w:t>3</w:t>
      </w:r>
      <w:r>
        <w:rPr>
          <w:rFonts w:cs="Arial"/>
        </w:rPr>
        <w:t xml:space="preserve"> </w:t>
      </w:r>
      <w:r w:rsidR="00C6296B">
        <w:rPr>
          <w:rFonts w:cs="Arial"/>
        </w:rPr>
        <w:t xml:space="preserve">- </w:t>
      </w:r>
      <w:r>
        <w:rPr>
          <w:rFonts w:cs="Arial"/>
        </w:rPr>
        <w:t>Equalities Impact Assessment</w:t>
      </w:r>
    </w:p>
    <w:p w:rsidR="002104F3" w:rsidRDefault="002104F3" w:rsidP="002104F3">
      <w:pPr>
        <w:rPr>
          <w:rFonts w:cs="Arial"/>
        </w:rPr>
      </w:pPr>
      <w:r>
        <w:rPr>
          <w:rFonts w:cs="Arial"/>
        </w:rPr>
        <w:t xml:space="preserve">Confidential Appendix 1 - Option Appraisal </w:t>
      </w:r>
    </w:p>
    <w:p w:rsidR="007B6E54" w:rsidRDefault="007B6E54">
      <w:pPr>
        <w:rPr>
          <w:rFonts w:cs="Arial"/>
          <w:i/>
        </w:rPr>
      </w:pPr>
    </w:p>
    <w:p w:rsidR="007B6E54" w:rsidRDefault="007B6E54">
      <w:pPr>
        <w:rPr>
          <w:rFonts w:cs="Arial"/>
          <w:b/>
        </w:rPr>
      </w:pPr>
      <w:r>
        <w:rPr>
          <w:rFonts w:cs="Arial"/>
          <w:b/>
        </w:rPr>
        <w:t>Background</w:t>
      </w:r>
    </w:p>
    <w:p w:rsidR="007B6E54" w:rsidRPr="009B179D" w:rsidRDefault="007B6E54">
      <w:pPr>
        <w:rPr>
          <w:rFonts w:cs="Arial"/>
        </w:rPr>
      </w:pPr>
    </w:p>
    <w:p w:rsidR="00C6296B" w:rsidRPr="001B3AC7" w:rsidRDefault="000966D3" w:rsidP="00E30158">
      <w:pPr>
        <w:pStyle w:val="ListParagraph"/>
        <w:numPr>
          <w:ilvl w:val="0"/>
          <w:numId w:val="5"/>
        </w:numPr>
        <w:ind w:left="360"/>
        <w:rPr>
          <w:rFonts w:cs="Arial"/>
        </w:rPr>
      </w:pPr>
      <w:proofErr w:type="spellStart"/>
      <w:r w:rsidRPr="001B3AC7">
        <w:rPr>
          <w:rFonts w:cs="Arial"/>
        </w:rPr>
        <w:t>Cumberlege</w:t>
      </w:r>
      <w:proofErr w:type="spellEnd"/>
      <w:r w:rsidRPr="001B3AC7">
        <w:rPr>
          <w:rFonts w:cs="Arial"/>
        </w:rPr>
        <w:t xml:space="preserve"> House is a </w:t>
      </w:r>
      <w:r w:rsidR="005409E1">
        <w:rPr>
          <w:rFonts w:cs="Arial"/>
        </w:rPr>
        <w:t>two</w:t>
      </w:r>
      <w:r w:rsidRPr="001B3AC7">
        <w:rPr>
          <w:rFonts w:cs="Arial"/>
        </w:rPr>
        <w:t xml:space="preserve"> storey, brick built sheltered housing</w:t>
      </w:r>
      <w:r w:rsidR="005409E1">
        <w:rPr>
          <w:rFonts w:cs="Arial"/>
        </w:rPr>
        <w:t xml:space="preserve"> block</w:t>
      </w:r>
      <w:r w:rsidRPr="001B3AC7">
        <w:rPr>
          <w:rFonts w:cs="Arial"/>
        </w:rPr>
        <w:t>, constructed in the 1970s, and comprising</w:t>
      </w:r>
      <w:r w:rsidR="005409E1">
        <w:rPr>
          <w:rFonts w:cs="Arial"/>
        </w:rPr>
        <w:t xml:space="preserve"> of</w:t>
      </w:r>
      <w:r w:rsidRPr="001B3AC7">
        <w:rPr>
          <w:rFonts w:cs="Arial"/>
        </w:rPr>
        <w:t xml:space="preserve"> 8</w:t>
      </w:r>
      <w:r w:rsidR="005409E1">
        <w:rPr>
          <w:rFonts w:cs="Arial"/>
        </w:rPr>
        <w:t xml:space="preserve"> x</w:t>
      </w:r>
      <w:r w:rsidRPr="001B3AC7">
        <w:rPr>
          <w:rFonts w:cs="Arial"/>
        </w:rPr>
        <w:t xml:space="preserve"> bedsit</w:t>
      </w:r>
      <w:r w:rsidR="005409E1">
        <w:rPr>
          <w:rFonts w:cs="Arial"/>
        </w:rPr>
        <w:t xml:space="preserve"> studio flats</w:t>
      </w:r>
      <w:r w:rsidRPr="001B3AC7">
        <w:rPr>
          <w:rFonts w:cs="Arial"/>
        </w:rPr>
        <w:t>, 6 x 1</w:t>
      </w:r>
      <w:r w:rsidR="005409E1">
        <w:rPr>
          <w:rFonts w:cs="Arial"/>
        </w:rPr>
        <w:t xml:space="preserve"> </w:t>
      </w:r>
      <w:r w:rsidRPr="001B3AC7">
        <w:rPr>
          <w:rFonts w:cs="Arial"/>
        </w:rPr>
        <w:t>bed flats and 1 x 2</w:t>
      </w:r>
      <w:r w:rsidR="005409E1">
        <w:rPr>
          <w:rFonts w:cs="Arial"/>
        </w:rPr>
        <w:t xml:space="preserve"> </w:t>
      </w:r>
      <w:r w:rsidRPr="001B3AC7">
        <w:rPr>
          <w:rFonts w:cs="Arial"/>
        </w:rPr>
        <w:t xml:space="preserve">bed wardens flat. </w:t>
      </w:r>
      <w:r w:rsidR="005409E1">
        <w:rPr>
          <w:rFonts w:cs="Arial"/>
        </w:rPr>
        <w:t xml:space="preserve"> </w:t>
      </w:r>
      <w:r w:rsidR="00156FF1" w:rsidRPr="001B3AC7">
        <w:rPr>
          <w:rFonts w:cs="Arial"/>
        </w:rPr>
        <w:t xml:space="preserve">The flats </w:t>
      </w:r>
      <w:r w:rsidRPr="001B3AC7">
        <w:rPr>
          <w:rFonts w:cs="Arial"/>
        </w:rPr>
        <w:t>are accessed via four separate entrances/ staircase</w:t>
      </w:r>
      <w:r w:rsidR="005409E1">
        <w:rPr>
          <w:rFonts w:cs="Arial"/>
        </w:rPr>
        <w:t>s</w:t>
      </w:r>
      <w:r w:rsidR="00156FF1" w:rsidRPr="001B3AC7">
        <w:rPr>
          <w:rFonts w:cs="Arial"/>
        </w:rPr>
        <w:t xml:space="preserve"> and there is no </w:t>
      </w:r>
      <w:r w:rsidRPr="001B3AC7">
        <w:rPr>
          <w:rFonts w:cs="Arial"/>
        </w:rPr>
        <w:t>lift</w:t>
      </w:r>
      <w:r w:rsidR="005409E1">
        <w:rPr>
          <w:rFonts w:cs="Arial"/>
        </w:rPr>
        <w:t>.  The block also contains a communal lounge area and a guest room.</w:t>
      </w:r>
    </w:p>
    <w:p w:rsidR="00C6296B" w:rsidRDefault="00C6296B" w:rsidP="00E30158">
      <w:pPr>
        <w:rPr>
          <w:rFonts w:cs="Arial"/>
        </w:rPr>
      </w:pPr>
    </w:p>
    <w:p w:rsidR="00311D09" w:rsidRPr="001B3AC7" w:rsidRDefault="000966D3" w:rsidP="00E30158">
      <w:pPr>
        <w:pStyle w:val="ListParagraph"/>
        <w:numPr>
          <w:ilvl w:val="0"/>
          <w:numId w:val="5"/>
        </w:numPr>
        <w:ind w:left="360"/>
        <w:rPr>
          <w:rFonts w:cs="Arial"/>
        </w:rPr>
      </w:pPr>
      <w:r w:rsidRPr="001B3AC7">
        <w:rPr>
          <w:rFonts w:cs="Arial"/>
        </w:rPr>
        <w:t xml:space="preserve">The </w:t>
      </w:r>
      <w:r w:rsidR="00C6296B" w:rsidRPr="001B3AC7">
        <w:rPr>
          <w:rFonts w:cs="Arial"/>
        </w:rPr>
        <w:t xml:space="preserve">Sheltered </w:t>
      </w:r>
      <w:r w:rsidRPr="001B3AC7">
        <w:rPr>
          <w:rFonts w:cs="Arial"/>
        </w:rPr>
        <w:t>Housing R</w:t>
      </w:r>
      <w:r w:rsidR="00C6296B" w:rsidRPr="001B3AC7">
        <w:rPr>
          <w:rFonts w:cs="Arial"/>
        </w:rPr>
        <w:t>eview</w:t>
      </w:r>
      <w:r w:rsidRPr="001B3AC7">
        <w:rPr>
          <w:rFonts w:cs="Arial"/>
        </w:rPr>
        <w:t xml:space="preserve"> in 2006-07 assessed the block as 14</w:t>
      </w:r>
      <w:r w:rsidRPr="001B3AC7">
        <w:rPr>
          <w:rFonts w:cs="Arial"/>
          <w:vertAlign w:val="superscript"/>
        </w:rPr>
        <w:t>th</w:t>
      </w:r>
      <w:r w:rsidRPr="001B3AC7">
        <w:rPr>
          <w:rFonts w:cs="Arial"/>
        </w:rPr>
        <w:t xml:space="preserve"> out of 15 blocks reviewed</w:t>
      </w:r>
      <w:r w:rsidR="00376D5F">
        <w:rPr>
          <w:rFonts w:cs="Arial"/>
        </w:rPr>
        <w:t>,</w:t>
      </w:r>
      <w:r w:rsidRPr="001B3AC7">
        <w:rPr>
          <w:rFonts w:cs="Arial"/>
        </w:rPr>
        <w:t xml:space="preserve"> on grounds of poor location, hard to let, </w:t>
      </w:r>
      <w:r w:rsidR="00311D09" w:rsidRPr="001B3AC7">
        <w:rPr>
          <w:rFonts w:cs="Arial"/>
        </w:rPr>
        <w:t>poor access and there being no effective</w:t>
      </w:r>
      <w:r w:rsidR="00376D5F">
        <w:rPr>
          <w:rFonts w:cs="Arial"/>
        </w:rPr>
        <w:t xml:space="preserve"> way</w:t>
      </w:r>
      <w:r w:rsidR="00311D09" w:rsidRPr="001B3AC7">
        <w:rPr>
          <w:rFonts w:cs="Arial"/>
        </w:rPr>
        <w:t xml:space="preserve"> of converting </w:t>
      </w:r>
      <w:r w:rsidR="00376D5F">
        <w:rPr>
          <w:rFonts w:cs="Arial"/>
        </w:rPr>
        <w:t xml:space="preserve">the block </w:t>
      </w:r>
      <w:r w:rsidR="00311D09" w:rsidRPr="001B3AC7">
        <w:rPr>
          <w:rFonts w:cs="Arial"/>
        </w:rPr>
        <w:t xml:space="preserve">to replace all of the bedsits. </w:t>
      </w:r>
    </w:p>
    <w:p w:rsidR="00311D09" w:rsidRDefault="00311D09" w:rsidP="00E30158">
      <w:pPr>
        <w:rPr>
          <w:rFonts w:cs="Arial"/>
        </w:rPr>
      </w:pPr>
    </w:p>
    <w:p w:rsidR="00A64E3A" w:rsidRPr="001B3AC7" w:rsidRDefault="00311D09" w:rsidP="00E30158">
      <w:pPr>
        <w:pStyle w:val="ListParagraph"/>
        <w:numPr>
          <w:ilvl w:val="0"/>
          <w:numId w:val="5"/>
        </w:numPr>
        <w:ind w:left="360"/>
        <w:rPr>
          <w:rFonts w:cs="Arial"/>
        </w:rPr>
      </w:pPr>
      <w:r w:rsidRPr="001B3AC7">
        <w:rPr>
          <w:rFonts w:cs="Arial"/>
        </w:rPr>
        <w:t xml:space="preserve">Executive Board on 5th November 2007 approved the decanting and disposal of the block on the open market, along with three other blocks, to fund the sheltered housing improvement programme </w:t>
      </w:r>
      <w:r w:rsidR="00FD01B3" w:rsidRPr="001B3AC7">
        <w:rPr>
          <w:rFonts w:cs="Arial"/>
        </w:rPr>
        <w:t xml:space="preserve">and </w:t>
      </w:r>
      <w:r w:rsidRPr="001B3AC7">
        <w:rPr>
          <w:rFonts w:cs="Arial"/>
        </w:rPr>
        <w:t xml:space="preserve">Decent Homes </w:t>
      </w:r>
      <w:r w:rsidR="00376D5F">
        <w:rPr>
          <w:rFonts w:cs="Arial"/>
        </w:rPr>
        <w:t xml:space="preserve">programme </w:t>
      </w:r>
      <w:r w:rsidRPr="001B3AC7">
        <w:rPr>
          <w:rFonts w:cs="Arial"/>
        </w:rPr>
        <w:t xml:space="preserve">investment. </w:t>
      </w:r>
    </w:p>
    <w:p w:rsidR="00311D09" w:rsidRDefault="00311D09" w:rsidP="00E30158">
      <w:pPr>
        <w:rPr>
          <w:rFonts w:cs="Arial"/>
        </w:rPr>
      </w:pPr>
    </w:p>
    <w:p w:rsidR="00FD01B3" w:rsidRDefault="00311D09" w:rsidP="00E30158">
      <w:pPr>
        <w:pStyle w:val="ListParagraph"/>
        <w:numPr>
          <w:ilvl w:val="0"/>
          <w:numId w:val="5"/>
        </w:numPr>
        <w:ind w:left="360"/>
        <w:rPr>
          <w:rFonts w:cs="Arial"/>
        </w:rPr>
      </w:pPr>
      <w:r w:rsidRPr="001B3AC7">
        <w:rPr>
          <w:rFonts w:cs="Arial"/>
        </w:rPr>
        <w:t>The block currently has 8 permanent t</w:t>
      </w:r>
      <w:r w:rsidR="00FD01B3" w:rsidRPr="001B3AC7">
        <w:rPr>
          <w:rFonts w:cs="Arial"/>
        </w:rPr>
        <w:t xml:space="preserve">enants and 2 temporary decants from the redevelopment of </w:t>
      </w:r>
      <w:proofErr w:type="spellStart"/>
      <w:r w:rsidR="00FD01B3" w:rsidRPr="001B3AC7">
        <w:rPr>
          <w:rFonts w:cs="Arial"/>
        </w:rPr>
        <w:t>Bradlands</w:t>
      </w:r>
      <w:proofErr w:type="spellEnd"/>
      <w:r w:rsidR="009D48D0">
        <w:rPr>
          <w:rFonts w:cs="Arial"/>
        </w:rPr>
        <w:t xml:space="preserve"> which is </w:t>
      </w:r>
      <w:r w:rsidR="00573670">
        <w:rPr>
          <w:rFonts w:cs="Arial"/>
        </w:rPr>
        <w:t xml:space="preserve">just </w:t>
      </w:r>
      <w:r w:rsidR="009D48D0">
        <w:rPr>
          <w:rFonts w:cs="Arial"/>
        </w:rPr>
        <w:t>200 yards to the north along Mill Lane.</w:t>
      </w:r>
      <w:r w:rsidR="00376D5F">
        <w:rPr>
          <w:rFonts w:cs="Arial"/>
        </w:rPr>
        <w:t xml:space="preserve"> All the tenants </w:t>
      </w:r>
      <w:r w:rsidR="00FD01B3" w:rsidRPr="001B3AC7">
        <w:rPr>
          <w:rFonts w:cs="Arial"/>
        </w:rPr>
        <w:t xml:space="preserve">will be rehoused </w:t>
      </w:r>
      <w:r w:rsidR="00376D5F">
        <w:rPr>
          <w:rFonts w:cs="Arial"/>
        </w:rPr>
        <w:t xml:space="preserve">into </w:t>
      </w:r>
      <w:proofErr w:type="spellStart"/>
      <w:r w:rsidR="00376D5F">
        <w:rPr>
          <w:rFonts w:cs="Arial"/>
        </w:rPr>
        <w:t>Bradlands</w:t>
      </w:r>
      <w:proofErr w:type="spellEnd"/>
      <w:r w:rsidR="00376D5F">
        <w:rPr>
          <w:rFonts w:cs="Arial"/>
        </w:rPr>
        <w:t xml:space="preserve"> </w:t>
      </w:r>
      <w:r w:rsidR="00FD01B3" w:rsidRPr="001B3AC7">
        <w:rPr>
          <w:rFonts w:cs="Arial"/>
        </w:rPr>
        <w:t>when that scheme is completed</w:t>
      </w:r>
      <w:r w:rsidR="00557A84" w:rsidRPr="001B3AC7">
        <w:rPr>
          <w:rFonts w:cs="Arial"/>
        </w:rPr>
        <w:t xml:space="preserve"> in August 2015</w:t>
      </w:r>
      <w:r w:rsidR="00FD01B3" w:rsidRPr="001B3AC7">
        <w:rPr>
          <w:rFonts w:cs="Arial"/>
        </w:rPr>
        <w:t xml:space="preserve">. </w:t>
      </w:r>
    </w:p>
    <w:p w:rsidR="00EA2CA9" w:rsidRPr="00EA2CA9" w:rsidRDefault="00EA2CA9" w:rsidP="00E30158">
      <w:pPr>
        <w:pStyle w:val="ListParagraph"/>
        <w:ind w:left="0"/>
        <w:rPr>
          <w:rFonts w:cs="Arial"/>
        </w:rPr>
      </w:pPr>
    </w:p>
    <w:p w:rsidR="00EA2CA9" w:rsidRPr="001B3AC7" w:rsidRDefault="00EA2CA9" w:rsidP="00E30158">
      <w:pPr>
        <w:pStyle w:val="ListParagraph"/>
        <w:numPr>
          <w:ilvl w:val="0"/>
          <w:numId w:val="5"/>
        </w:numPr>
        <w:ind w:left="360"/>
        <w:rPr>
          <w:rFonts w:cs="Arial"/>
        </w:rPr>
      </w:pPr>
      <w:r>
        <w:rPr>
          <w:rFonts w:cs="Arial"/>
        </w:rPr>
        <w:t>The new Government is putting forward legislation to extend Right to Buy to Housing Associations which will have a negative effect on the Council’s HRA business plan; more detail is contained in Financial Implications.  The Council therefore must proceed with caution before committing to significant levels of expenditure.</w:t>
      </w:r>
    </w:p>
    <w:p w:rsidR="00FD01B3" w:rsidRDefault="00FD01B3">
      <w:pPr>
        <w:rPr>
          <w:rFonts w:cs="Arial"/>
        </w:rPr>
      </w:pPr>
    </w:p>
    <w:p w:rsidR="00C6296B" w:rsidRPr="00C6296B" w:rsidRDefault="00C6296B">
      <w:pPr>
        <w:rPr>
          <w:rFonts w:cs="Arial"/>
          <w:b/>
        </w:rPr>
      </w:pPr>
      <w:r w:rsidRPr="00C6296B">
        <w:rPr>
          <w:rFonts w:cs="Arial"/>
          <w:b/>
        </w:rPr>
        <w:t xml:space="preserve">Options </w:t>
      </w:r>
      <w:r w:rsidR="00557A84">
        <w:rPr>
          <w:rFonts w:cs="Arial"/>
          <w:b/>
        </w:rPr>
        <w:t>Appraisal</w:t>
      </w:r>
    </w:p>
    <w:p w:rsidR="002B7478" w:rsidRDefault="002B7478">
      <w:pPr>
        <w:rPr>
          <w:rFonts w:cs="Arial"/>
        </w:rPr>
      </w:pPr>
    </w:p>
    <w:p w:rsidR="00E30158" w:rsidRDefault="00557A84" w:rsidP="00E30158">
      <w:pPr>
        <w:pStyle w:val="ListParagraph"/>
        <w:numPr>
          <w:ilvl w:val="0"/>
          <w:numId w:val="5"/>
        </w:numPr>
        <w:ind w:left="360"/>
        <w:rPr>
          <w:rFonts w:cs="Arial"/>
        </w:rPr>
      </w:pPr>
      <w:r w:rsidRPr="001B3AC7">
        <w:rPr>
          <w:rFonts w:cs="Arial"/>
        </w:rPr>
        <w:t xml:space="preserve">Officers are </w:t>
      </w:r>
      <w:r w:rsidR="00156FF1" w:rsidRPr="001B3AC7">
        <w:rPr>
          <w:rFonts w:cs="Arial"/>
        </w:rPr>
        <w:t xml:space="preserve">assessing sites which could be included in </w:t>
      </w:r>
      <w:r w:rsidRPr="001B3AC7">
        <w:rPr>
          <w:rFonts w:cs="Arial"/>
        </w:rPr>
        <w:t>the next phase of the HRA new build programme</w:t>
      </w:r>
      <w:r w:rsidR="00376D5F">
        <w:rPr>
          <w:rFonts w:cs="Arial"/>
        </w:rPr>
        <w:t xml:space="preserve">, which will be the subject of a CEB report later in the year.  </w:t>
      </w:r>
      <w:proofErr w:type="spellStart"/>
      <w:r w:rsidRPr="001B3AC7">
        <w:rPr>
          <w:rFonts w:cs="Arial"/>
        </w:rPr>
        <w:t>Cumberlege</w:t>
      </w:r>
      <w:proofErr w:type="spellEnd"/>
      <w:r w:rsidRPr="001B3AC7">
        <w:rPr>
          <w:rFonts w:cs="Arial"/>
        </w:rPr>
        <w:t xml:space="preserve"> House is a priority </w:t>
      </w:r>
      <w:r w:rsidR="00156FF1" w:rsidRPr="001B3AC7">
        <w:rPr>
          <w:rFonts w:cs="Arial"/>
        </w:rPr>
        <w:t xml:space="preserve">for action </w:t>
      </w:r>
      <w:r w:rsidRPr="001B3AC7">
        <w:rPr>
          <w:rFonts w:cs="Arial"/>
        </w:rPr>
        <w:t>because the block is expected to be void in August and a decision on its future is required</w:t>
      </w:r>
      <w:r w:rsidR="00376D5F">
        <w:rPr>
          <w:rFonts w:cs="Arial"/>
        </w:rPr>
        <w:t xml:space="preserve"> at this time, to avoid the Council incurring the additional costs from an empty property</w:t>
      </w:r>
      <w:r w:rsidRPr="001B3AC7">
        <w:rPr>
          <w:rFonts w:cs="Arial"/>
        </w:rPr>
        <w:t xml:space="preserve">. </w:t>
      </w:r>
    </w:p>
    <w:p w:rsidR="00E30158" w:rsidRDefault="00E30158" w:rsidP="00E30158">
      <w:pPr>
        <w:pStyle w:val="ListParagraph"/>
        <w:ind w:left="360"/>
        <w:rPr>
          <w:rFonts w:cs="Arial"/>
        </w:rPr>
      </w:pPr>
    </w:p>
    <w:p w:rsidR="00E30158" w:rsidRDefault="00FD01B3" w:rsidP="00E30158">
      <w:pPr>
        <w:pStyle w:val="ListParagraph"/>
        <w:numPr>
          <w:ilvl w:val="0"/>
          <w:numId w:val="5"/>
        </w:numPr>
        <w:ind w:left="360"/>
        <w:rPr>
          <w:rFonts w:cs="Arial"/>
        </w:rPr>
      </w:pPr>
      <w:r w:rsidRPr="00E30158">
        <w:rPr>
          <w:rFonts w:cs="Arial"/>
        </w:rPr>
        <w:lastRenderedPageBreak/>
        <w:t xml:space="preserve">The Housing Development and Enabling Manager has carried out an options appraisal </w:t>
      </w:r>
      <w:r w:rsidR="00557A84" w:rsidRPr="00E30158">
        <w:rPr>
          <w:rFonts w:cs="Arial"/>
        </w:rPr>
        <w:t xml:space="preserve">which is included at </w:t>
      </w:r>
      <w:r w:rsidR="00F8181B" w:rsidRPr="00E30158">
        <w:rPr>
          <w:rFonts w:cs="Arial"/>
        </w:rPr>
        <w:t xml:space="preserve">Confidential </w:t>
      </w:r>
      <w:r w:rsidR="00557A84" w:rsidRPr="00E30158">
        <w:rPr>
          <w:rFonts w:cs="Arial"/>
        </w:rPr>
        <w:t xml:space="preserve">Appendix </w:t>
      </w:r>
      <w:r w:rsidR="00C065E2" w:rsidRPr="00E30158">
        <w:rPr>
          <w:rFonts w:cs="Arial"/>
        </w:rPr>
        <w:t>1</w:t>
      </w:r>
      <w:r w:rsidR="00557A84" w:rsidRPr="00E30158">
        <w:rPr>
          <w:rFonts w:cs="Arial"/>
        </w:rPr>
        <w:t>. The options are:</w:t>
      </w:r>
      <w:r w:rsidR="00E30158" w:rsidRPr="00E30158">
        <w:rPr>
          <w:rFonts w:cs="Arial"/>
        </w:rPr>
        <w:t xml:space="preserve"> </w:t>
      </w:r>
    </w:p>
    <w:p w:rsidR="00E30158" w:rsidRPr="00E30158" w:rsidRDefault="00E30158" w:rsidP="00E30158">
      <w:pPr>
        <w:pStyle w:val="ListParagraph"/>
        <w:rPr>
          <w:rFonts w:cs="Arial"/>
        </w:rPr>
      </w:pPr>
    </w:p>
    <w:p w:rsidR="001B3AC7" w:rsidRDefault="001B3AC7" w:rsidP="001B3AC7">
      <w:pPr>
        <w:rPr>
          <w:rFonts w:cs="Arial"/>
        </w:rPr>
      </w:pPr>
    </w:p>
    <w:p w:rsidR="00FD01B3" w:rsidRDefault="00557A84" w:rsidP="001B3AC7">
      <w:pPr>
        <w:rPr>
          <w:rFonts w:cs="Arial"/>
          <w:u w:val="single"/>
        </w:rPr>
      </w:pPr>
      <w:r w:rsidRPr="00F8181B">
        <w:rPr>
          <w:rFonts w:cs="Arial"/>
          <w:u w:val="single"/>
        </w:rPr>
        <w:t xml:space="preserve">Option 1 </w:t>
      </w:r>
      <w:r w:rsidR="00156FF1" w:rsidRPr="00F8181B">
        <w:rPr>
          <w:rFonts w:cs="Arial"/>
          <w:u w:val="single"/>
        </w:rPr>
        <w:t xml:space="preserve">– </w:t>
      </w:r>
      <w:proofErr w:type="spellStart"/>
      <w:r w:rsidR="00376D5F" w:rsidRPr="00F8181B">
        <w:rPr>
          <w:rFonts w:cs="Arial"/>
          <w:u w:val="single"/>
        </w:rPr>
        <w:t>R</w:t>
      </w:r>
      <w:r w:rsidR="00156FF1" w:rsidRPr="00F8181B">
        <w:rPr>
          <w:rFonts w:cs="Arial"/>
          <w:u w:val="single"/>
        </w:rPr>
        <w:t>elet</w:t>
      </w:r>
      <w:proofErr w:type="spellEnd"/>
      <w:r w:rsidR="00156FF1" w:rsidRPr="00F8181B">
        <w:rPr>
          <w:rFonts w:cs="Arial"/>
          <w:u w:val="single"/>
        </w:rPr>
        <w:t xml:space="preserve"> </w:t>
      </w:r>
      <w:r w:rsidR="00E155D4" w:rsidRPr="00F8181B">
        <w:rPr>
          <w:rFonts w:cs="Arial"/>
          <w:u w:val="single"/>
        </w:rPr>
        <w:t xml:space="preserve">the </w:t>
      </w:r>
      <w:r w:rsidR="002B7478" w:rsidRPr="00F8181B">
        <w:rPr>
          <w:rFonts w:cs="Arial"/>
          <w:u w:val="single"/>
        </w:rPr>
        <w:t xml:space="preserve">existing </w:t>
      </w:r>
      <w:r w:rsidR="00E155D4" w:rsidRPr="00F8181B">
        <w:rPr>
          <w:rFonts w:cs="Arial"/>
          <w:u w:val="single"/>
        </w:rPr>
        <w:t xml:space="preserve">flats for general needs occupation </w:t>
      </w:r>
    </w:p>
    <w:p w:rsidR="00E30158" w:rsidRPr="00F8181B" w:rsidRDefault="00E30158" w:rsidP="001B3AC7">
      <w:pPr>
        <w:rPr>
          <w:rFonts w:cs="Arial"/>
          <w:u w:val="single"/>
        </w:rPr>
      </w:pPr>
    </w:p>
    <w:p w:rsidR="00E30158" w:rsidRPr="00E30158" w:rsidRDefault="00E30158" w:rsidP="00E30158">
      <w:pPr>
        <w:pStyle w:val="ListParagraph"/>
        <w:numPr>
          <w:ilvl w:val="0"/>
          <w:numId w:val="5"/>
        </w:numPr>
        <w:ind w:left="360"/>
        <w:rPr>
          <w:rFonts w:cs="Arial"/>
        </w:rPr>
      </w:pPr>
      <w:r w:rsidRPr="00E30158">
        <w:rPr>
          <w:rFonts w:cs="Arial"/>
        </w:rPr>
        <w:t xml:space="preserve">This option is not favoured because the location is remote from shops and social amenities and public transport access is poor and the bedsit units will be hard to let. </w:t>
      </w:r>
    </w:p>
    <w:p w:rsidR="009B179D" w:rsidRDefault="009B179D">
      <w:pPr>
        <w:rPr>
          <w:rFonts w:cs="Arial"/>
          <w:u w:val="single"/>
        </w:rPr>
      </w:pPr>
    </w:p>
    <w:p w:rsidR="008E20EB" w:rsidRDefault="008E20EB">
      <w:pPr>
        <w:rPr>
          <w:rFonts w:cs="Arial"/>
          <w:u w:val="single"/>
        </w:rPr>
      </w:pPr>
    </w:p>
    <w:p w:rsidR="00FD01B3" w:rsidRPr="00F8181B" w:rsidRDefault="009B179D">
      <w:pPr>
        <w:rPr>
          <w:rFonts w:cs="Arial"/>
          <w:u w:val="single"/>
        </w:rPr>
      </w:pPr>
      <w:r>
        <w:rPr>
          <w:rFonts w:cs="Arial"/>
          <w:u w:val="single"/>
        </w:rPr>
        <w:t>O</w:t>
      </w:r>
      <w:r w:rsidR="00156FF1" w:rsidRPr="00376D5F">
        <w:rPr>
          <w:rFonts w:cs="Arial"/>
          <w:u w:val="single"/>
        </w:rPr>
        <w:t>ption 2</w:t>
      </w:r>
      <w:r w:rsidR="00156FF1" w:rsidRPr="00F8181B">
        <w:rPr>
          <w:rFonts w:cs="Arial"/>
          <w:u w:val="single"/>
        </w:rPr>
        <w:t xml:space="preserve"> –</w:t>
      </w:r>
      <w:r w:rsidR="00376D5F" w:rsidRPr="00F8181B">
        <w:rPr>
          <w:rFonts w:cs="Arial"/>
          <w:u w:val="single"/>
        </w:rPr>
        <w:t xml:space="preserve"> R</w:t>
      </w:r>
      <w:r w:rsidR="00156FF1" w:rsidRPr="00F8181B">
        <w:rPr>
          <w:rFonts w:cs="Arial"/>
          <w:u w:val="single"/>
        </w:rPr>
        <w:t>efurbish for temporary accommodation</w:t>
      </w:r>
    </w:p>
    <w:p w:rsidR="00C45A31" w:rsidRDefault="00C45A31" w:rsidP="00C45A31">
      <w:pPr>
        <w:rPr>
          <w:rFonts w:cs="Arial"/>
        </w:rPr>
      </w:pPr>
    </w:p>
    <w:p w:rsidR="00156FF1" w:rsidRPr="00C45A31" w:rsidRDefault="00C45A31" w:rsidP="00C45A31">
      <w:pPr>
        <w:pStyle w:val="ListParagraph"/>
        <w:numPr>
          <w:ilvl w:val="0"/>
          <w:numId w:val="5"/>
        </w:numPr>
        <w:ind w:left="426"/>
        <w:rPr>
          <w:rFonts w:cs="Arial"/>
        </w:rPr>
      </w:pPr>
      <w:r w:rsidRPr="00C45A31">
        <w:rPr>
          <w:rFonts w:cs="Arial"/>
        </w:rPr>
        <w:t>T</w:t>
      </w:r>
      <w:r w:rsidR="00E155D4" w:rsidRPr="00C45A31">
        <w:rPr>
          <w:rFonts w:cs="Arial"/>
        </w:rPr>
        <w:t>he use of this block for temporary accommodation use is not recommended because the location is remote from shops and social amenities and public transport access is p</w:t>
      </w:r>
      <w:r w:rsidR="002B7478" w:rsidRPr="00C45A31">
        <w:rPr>
          <w:rFonts w:cs="Arial"/>
        </w:rPr>
        <w:t>o</w:t>
      </w:r>
      <w:r w:rsidR="00E155D4" w:rsidRPr="00C45A31">
        <w:rPr>
          <w:rFonts w:cs="Arial"/>
        </w:rPr>
        <w:t xml:space="preserve">or. The configuration of the block </w:t>
      </w:r>
      <w:r w:rsidR="00376D5F" w:rsidRPr="00C45A31">
        <w:rPr>
          <w:rFonts w:cs="Arial"/>
        </w:rPr>
        <w:t xml:space="preserve">(mostly studio bedsits) </w:t>
      </w:r>
      <w:r w:rsidR="00E155D4" w:rsidRPr="00C45A31">
        <w:rPr>
          <w:rFonts w:cs="Arial"/>
        </w:rPr>
        <w:t xml:space="preserve">also does not meet the demand </w:t>
      </w:r>
      <w:r w:rsidR="002B7478" w:rsidRPr="00C45A31">
        <w:rPr>
          <w:rFonts w:cs="Arial"/>
        </w:rPr>
        <w:t xml:space="preserve">profile for </w:t>
      </w:r>
      <w:r w:rsidR="00E155D4" w:rsidRPr="00C45A31">
        <w:rPr>
          <w:rFonts w:cs="Arial"/>
        </w:rPr>
        <w:t xml:space="preserve">temporary accommodation </w:t>
      </w:r>
      <w:r w:rsidR="00045748" w:rsidRPr="00C45A31">
        <w:rPr>
          <w:rFonts w:cs="Arial"/>
        </w:rPr>
        <w:t xml:space="preserve">which is for small </w:t>
      </w:r>
      <w:r w:rsidR="00E155D4" w:rsidRPr="00C45A31">
        <w:rPr>
          <w:rFonts w:cs="Arial"/>
        </w:rPr>
        <w:t>f</w:t>
      </w:r>
      <w:r w:rsidR="00045748" w:rsidRPr="00C45A31">
        <w:rPr>
          <w:rFonts w:cs="Arial"/>
        </w:rPr>
        <w:t xml:space="preserve">amilies. </w:t>
      </w:r>
    </w:p>
    <w:p w:rsidR="00045748" w:rsidRDefault="00045748">
      <w:pPr>
        <w:rPr>
          <w:rFonts w:cs="Arial"/>
        </w:rPr>
      </w:pPr>
    </w:p>
    <w:p w:rsidR="00156FF1" w:rsidRPr="008E20EB" w:rsidRDefault="00156FF1">
      <w:pPr>
        <w:rPr>
          <w:rFonts w:cs="Arial"/>
          <w:u w:val="single"/>
        </w:rPr>
      </w:pPr>
      <w:r w:rsidRPr="0012437B">
        <w:rPr>
          <w:rFonts w:cs="Arial"/>
          <w:u w:val="single"/>
        </w:rPr>
        <w:t>Option 3</w:t>
      </w:r>
      <w:r w:rsidRPr="008E20EB">
        <w:rPr>
          <w:rFonts w:cs="Arial"/>
          <w:u w:val="single"/>
        </w:rPr>
        <w:t xml:space="preserve"> – </w:t>
      </w:r>
      <w:r w:rsidR="0012437B" w:rsidRPr="00F8181B">
        <w:rPr>
          <w:rFonts w:cs="Arial"/>
          <w:u w:val="single"/>
        </w:rPr>
        <w:t>R</w:t>
      </w:r>
      <w:r w:rsidRPr="00F8181B">
        <w:rPr>
          <w:rFonts w:cs="Arial"/>
          <w:u w:val="single"/>
        </w:rPr>
        <w:t>e</w:t>
      </w:r>
      <w:r w:rsidRPr="008E20EB">
        <w:rPr>
          <w:rFonts w:cs="Arial"/>
          <w:u w:val="single"/>
        </w:rPr>
        <w:t>model the block for self</w:t>
      </w:r>
      <w:r w:rsidR="0012437B" w:rsidRPr="008E20EB">
        <w:rPr>
          <w:rFonts w:cs="Arial"/>
          <w:u w:val="single"/>
        </w:rPr>
        <w:t>-</w:t>
      </w:r>
      <w:r w:rsidRPr="008E20EB">
        <w:rPr>
          <w:rFonts w:cs="Arial"/>
          <w:u w:val="single"/>
        </w:rPr>
        <w:t>contained flats</w:t>
      </w:r>
      <w:r w:rsidR="00D74D72" w:rsidRPr="008E20EB">
        <w:rPr>
          <w:rFonts w:cs="Arial"/>
          <w:u w:val="single"/>
        </w:rPr>
        <w:t xml:space="preserve"> for general needs use </w:t>
      </w:r>
    </w:p>
    <w:p w:rsidR="00156FF1" w:rsidRDefault="00156FF1">
      <w:pPr>
        <w:rPr>
          <w:rFonts w:cs="Arial"/>
        </w:rPr>
      </w:pPr>
    </w:p>
    <w:p w:rsidR="00B94F49" w:rsidRPr="001B3AC7" w:rsidRDefault="00D74D72" w:rsidP="00E30158">
      <w:pPr>
        <w:pStyle w:val="ListParagraph"/>
        <w:numPr>
          <w:ilvl w:val="0"/>
          <w:numId w:val="5"/>
        </w:numPr>
        <w:ind w:left="360"/>
        <w:rPr>
          <w:rFonts w:cs="Arial"/>
        </w:rPr>
      </w:pPr>
      <w:r w:rsidRPr="001B3AC7">
        <w:rPr>
          <w:rFonts w:cs="Arial"/>
        </w:rPr>
        <w:t xml:space="preserve">An initial assessment indicates that the block could be remodelled to provide 4 x 2bed flats to replace 8 bedsits; along with the existing 6 x 1 beds and 1x 2bed ex wardens would give 11 units. </w:t>
      </w:r>
    </w:p>
    <w:p w:rsidR="00B94F49" w:rsidRDefault="00B94F49" w:rsidP="00E30158">
      <w:pPr>
        <w:rPr>
          <w:rFonts w:cs="Arial"/>
        </w:rPr>
      </w:pPr>
    </w:p>
    <w:p w:rsidR="00B94F49" w:rsidRPr="001B3AC7" w:rsidRDefault="00D74D72" w:rsidP="00E30158">
      <w:pPr>
        <w:pStyle w:val="ListParagraph"/>
        <w:numPr>
          <w:ilvl w:val="0"/>
          <w:numId w:val="5"/>
        </w:numPr>
        <w:ind w:left="360"/>
        <w:rPr>
          <w:rFonts w:cs="Arial"/>
        </w:rPr>
      </w:pPr>
      <w:r w:rsidRPr="001B3AC7">
        <w:rPr>
          <w:rFonts w:cs="Arial"/>
        </w:rPr>
        <w:t xml:space="preserve">A full building survey and </w:t>
      </w:r>
      <w:proofErr w:type="spellStart"/>
      <w:r w:rsidRPr="001B3AC7">
        <w:rPr>
          <w:rFonts w:cs="Arial"/>
        </w:rPr>
        <w:t>costed</w:t>
      </w:r>
      <w:proofErr w:type="spellEnd"/>
      <w:r w:rsidRPr="001B3AC7">
        <w:rPr>
          <w:rFonts w:cs="Arial"/>
        </w:rPr>
        <w:t xml:space="preserve"> conversion scheme would be required to establish the technical feasibility of this as it involves creating 2 storey </w:t>
      </w:r>
      <w:r w:rsidR="00B94F49" w:rsidRPr="001B3AC7">
        <w:rPr>
          <w:rFonts w:cs="Arial"/>
        </w:rPr>
        <w:t xml:space="preserve">maisonettes by vertical conversion </w:t>
      </w:r>
      <w:r w:rsidRPr="001B3AC7">
        <w:rPr>
          <w:rFonts w:cs="Arial"/>
        </w:rPr>
        <w:t>with new internal staircase</w:t>
      </w:r>
      <w:r w:rsidR="00B94F49" w:rsidRPr="001B3AC7">
        <w:rPr>
          <w:rFonts w:cs="Arial"/>
        </w:rPr>
        <w:t>s</w:t>
      </w:r>
      <w:r w:rsidRPr="001B3AC7">
        <w:rPr>
          <w:rFonts w:cs="Arial"/>
        </w:rPr>
        <w:t xml:space="preserve">. The </w:t>
      </w:r>
      <w:r w:rsidR="00B94F49" w:rsidRPr="001B3AC7">
        <w:rPr>
          <w:rFonts w:cs="Arial"/>
        </w:rPr>
        <w:t>end result though will fall short of the space and accessibility standards which the Council requires for its new units.</w:t>
      </w:r>
    </w:p>
    <w:p w:rsidR="00B94F49" w:rsidRDefault="00B94F49" w:rsidP="00E30158">
      <w:pPr>
        <w:rPr>
          <w:rFonts w:cs="Arial"/>
        </w:rPr>
      </w:pPr>
    </w:p>
    <w:p w:rsidR="00B94F49" w:rsidRPr="001B3AC7" w:rsidRDefault="00B94F49" w:rsidP="00E30158">
      <w:pPr>
        <w:pStyle w:val="ListParagraph"/>
        <w:numPr>
          <w:ilvl w:val="0"/>
          <w:numId w:val="5"/>
        </w:numPr>
        <w:ind w:left="360"/>
        <w:rPr>
          <w:rFonts w:cs="Arial"/>
        </w:rPr>
      </w:pPr>
      <w:r w:rsidRPr="001B3AC7">
        <w:rPr>
          <w:rFonts w:cs="Arial"/>
        </w:rPr>
        <w:t xml:space="preserve">Experience of refurbishing similar buildings shows that build costs are much higher reflecting the difficulty of meeting current standards for thermal efficiency, fire separation </w:t>
      </w:r>
      <w:r w:rsidR="00795B33" w:rsidRPr="001B3AC7">
        <w:rPr>
          <w:rFonts w:cs="Arial"/>
        </w:rPr>
        <w:t xml:space="preserve">and the latest building regulations. </w:t>
      </w:r>
      <w:r w:rsidR="0012437B" w:rsidRPr="001B3AC7">
        <w:rPr>
          <w:rFonts w:cs="Arial"/>
        </w:rPr>
        <w:t>This raises concerns over the sustainability of project</w:t>
      </w:r>
      <w:r w:rsidR="0012437B">
        <w:rPr>
          <w:rFonts w:cs="Arial"/>
        </w:rPr>
        <w:t>.</w:t>
      </w:r>
    </w:p>
    <w:p w:rsidR="00795B33" w:rsidRDefault="00795B33" w:rsidP="00E30158">
      <w:pPr>
        <w:rPr>
          <w:rFonts w:cs="Arial"/>
        </w:rPr>
      </w:pPr>
    </w:p>
    <w:p w:rsidR="00795B33" w:rsidRPr="001B3AC7" w:rsidRDefault="0012437B" w:rsidP="00E30158">
      <w:pPr>
        <w:pStyle w:val="ListParagraph"/>
        <w:numPr>
          <w:ilvl w:val="0"/>
          <w:numId w:val="5"/>
        </w:numPr>
        <w:ind w:left="360"/>
        <w:rPr>
          <w:rFonts w:cs="Arial"/>
        </w:rPr>
      </w:pPr>
      <w:r>
        <w:rPr>
          <w:rFonts w:cs="Arial"/>
        </w:rPr>
        <w:t xml:space="preserve">Also, </w:t>
      </w:r>
      <w:r w:rsidR="00795B33" w:rsidRPr="001B3AC7">
        <w:rPr>
          <w:rFonts w:cs="Arial"/>
        </w:rPr>
        <w:t xml:space="preserve">the external environment would not be up the standards for general needs rather than sheltered housing use, in terms of parking, waste disposal and amenity spaces. </w:t>
      </w:r>
    </w:p>
    <w:p w:rsidR="00795B33" w:rsidRDefault="00795B33" w:rsidP="00E30158">
      <w:pPr>
        <w:rPr>
          <w:rFonts w:cs="Arial"/>
        </w:rPr>
      </w:pPr>
    </w:p>
    <w:p w:rsidR="00795B33" w:rsidRPr="001B3AC7" w:rsidRDefault="00795B33" w:rsidP="00E30158">
      <w:pPr>
        <w:pStyle w:val="ListParagraph"/>
        <w:numPr>
          <w:ilvl w:val="0"/>
          <w:numId w:val="5"/>
        </w:numPr>
        <w:ind w:left="360"/>
        <w:rPr>
          <w:rFonts w:cs="Arial"/>
        </w:rPr>
      </w:pPr>
      <w:r w:rsidRPr="001B3AC7">
        <w:rPr>
          <w:rFonts w:cs="Arial"/>
        </w:rPr>
        <w:t xml:space="preserve">Commissioning consultants to carry out the technical assessment which this option requires, which will be costly, is not deemed to be value for money when the </w:t>
      </w:r>
      <w:r w:rsidR="00E155D4" w:rsidRPr="001B3AC7">
        <w:rPr>
          <w:rFonts w:cs="Arial"/>
        </w:rPr>
        <w:t xml:space="preserve">outcome will fall short of the accommodation standards which the Council has adopted. </w:t>
      </w:r>
    </w:p>
    <w:p w:rsidR="00795B33" w:rsidRDefault="00795B33">
      <w:pPr>
        <w:rPr>
          <w:rFonts w:cs="Arial"/>
        </w:rPr>
      </w:pPr>
    </w:p>
    <w:p w:rsidR="00FD01B3" w:rsidRPr="008E20EB" w:rsidRDefault="00156FF1">
      <w:pPr>
        <w:rPr>
          <w:rFonts w:cs="Arial"/>
          <w:u w:val="single"/>
        </w:rPr>
      </w:pPr>
      <w:r w:rsidRPr="0012437B">
        <w:rPr>
          <w:rFonts w:cs="Arial"/>
          <w:u w:val="single"/>
        </w:rPr>
        <w:t>Option 4</w:t>
      </w:r>
      <w:r w:rsidRPr="008E20EB">
        <w:rPr>
          <w:rFonts w:cs="Arial"/>
          <w:u w:val="single"/>
        </w:rPr>
        <w:t xml:space="preserve"> </w:t>
      </w:r>
      <w:r w:rsidRPr="00F8181B">
        <w:rPr>
          <w:rFonts w:cs="Arial"/>
          <w:u w:val="single"/>
        </w:rPr>
        <w:t xml:space="preserve">- </w:t>
      </w:r>
      <w:r w:rsidR="0012437B" w:rsidRPr="00F8181B">
        <w:rPr>
          <w:rFonts w:cs="Arial"/>
          <w:u w:val="single"/>
        </w:rPr>
        <w:t>D</w:t>
      </w:r>
      <w:r w:rsidR="00300C20" w:rsidRPr="00F8181B">
        <w:rPr>
          <w:rFonts w:cs="Arial"/>
          <w:u w:val="single"/>
        </w:rPr>
        <w:t xml:space="preserve">emolish </w:t>
      </w:r>
      <w:r w:rsidR="00300C20" w:rsidRPr="008E20EB">
        <w:rPr>
          <w:rFonts w:cs="Arial"/>
          <w:u w:val="single"/>
        </w:rPr>
        <w:t xml:space="preserve">and </w:t>
      </w:r>
      <w:r w:rsidRPr="008E20EB">
        <w:rPr>
          <w:rFonts w:cs="Arial"/>
          <w:u w:val="single"/>
        </w:rPr>
        <w:t xml:space="preserve">redevelop </w:t>
      </w:r>
      <w:r w:rsidR="00300C20" w:rsidRPr="008E20EB">
        <w:rPr>
          <w:rFonts w:cs="Arial"/>
          <w:u w:val="single"/>
        </w:rPr>
        <w:t xml:space="preserve">the site </w:t>
      </w:r>
      <w:r w:rsidRPr="008E20EB">
        <w:rPr>
          <w:rFonts w:cs="Arial"/>
          <w:u w:val="single"/>
        </w:rPr>
        <w:t>for new build Council housing</w:t>
      </w:r>
    </w:p>
    <w:p w:rsidR="00156FF1" w:rsidRDefault="00156FF1">
      <w:pPr>
        <w:rPr>
          <w:rFonts w:cs="Arial"/>
        </w:rPr>
      </w:pPr>
    </w:p>
    <w:p w:rsidR="00E30158" w:rsidRDefault="004A49E6" w:rsidP="00E30158">
      <w:pPr>
        <w:pStyle w:val="ListParagraph"/>
        <w:numPr>
          <w:ilvl w:val="0"/>
          <w:numId w:val="5"/>
        </w:numPr>
        <w:ind w:left="360"/>
        <w:rPr>
          <w:rFonts w:cs="Arial"/>
        </w:rPr>
      </w:pPr>
      <w:r w:rsidRPr="00E30158">
        <w:rPr>
          <w:rFonts w:cs="Arial"/>
        </w:rPr>
        <w:lastRenderedPageBreak/>
        <w:t xml:space="preserve">The site has a minimum capacity to develop 4 x 2bed flats and 5x 3 bed houses for General Needs letting. This would </w:t>
      </w:r>
      <w:r w:rsidR="0012437B" w:rsidRPr="00E30158">
        <w:rPr>
          <w:rFonts w:cs="Arial"/>
        </w:rPr>
        <w:t xml:space="preserve">cost in the region of </w:t>
      </w:r>
      <w:r w:rsidRPr="00E30158">
        <w:rPr>
          <w:rFonts w:cs="Arial"/>
        </w:rPr>
        <w:t>£1.2m and would generate a surplus over 50 years of £464,000</w:t>
      </w:r>
    </w:p>
    <w:p w:rsidR="00E30158" w:rsidRDefault="00E30158" w:rsidP="00E30158">
      <w:pPr>
        <w:pStyle w:val="ListParagraph"/>
        <w:ind w:left="360"/>
        <w:rPr>
          <w:rFonts w:cs="Arial"/>
        </w:rPr>
      </w:pPr>
    </w:p>
    <w:p w:rsidR="00E30158" w:rsidRPr="00C45A31" w:rsidRDefault="002276A8" w:rsidP="00C45A31">
      <w:pPr>
        <w:pStyle w:val="ListParagraph"/>
        <w:numPr>
          <w:ilvl w:val="0"/>
          <w:numId w:val="5"/>
        </w:numPr>
        <w:tabs>
          <w:tab w:val="left" w:pos="426"/>
        </w:tabs>
        <w:ind w:left="482" w:hanging="482"/>
        <w:rPr>
          <w:rFonts w:cs="Arial"/>
        </w:rPr>
      </w:pPr>
      <w:r w:rsidRPr="00C45A31">
        <w:rPr>
          <w:rFonts w:cs="Arial"/>
        </w:rPr>
        <w:t xml:space="preserve">There are no opportunities for unit gain from </w:t>
      </w:r>
      <w:r w:rsidR="007044A9" w:rsidRPr="00C45A31">
        <w:rPr>
          <w:rFonts w:cs="Arial"/>
        </w:rPr>
        <w:t xml:space="preserve">bringing areas adjoining the site into the redevelopment. The field to the west is owned by the Council but it is designated Green Belt land. The area of </w:t>
      </w:r>
      <w:r w:rsidR="002B7478" w:rsidRPr="00C45A31">
        <w:rPr>
          <w:rFonts w:cs="Arial"/>
        </w:rPr>
        <w:t xml:space="preserve">Council </w:t>
      </w:r>
      <w:r w:rsidR="007044A9" w:rsidRPr="00C45A31">
        <w:rPr>
          <w:rFonts w:cs="Arial"/>
        </w:rPr>
        <w:t xml:space="preserve">housing to the east has </w:t>
      </w:r>
      <w:r w:rsidR="002B7478" w:rsidRPr="00C45A31">
        <w:rPr>
          <w:rFonts w:cs="Arial"/>
        </w:rPr>
        <w:t xml:space="preserve">4 bed houses which should be retained and a number of Right to </w:t>
      </w:r>
      <w:proofErr w:type="gramStart"/>
      <w:r w:rsidR="002B7478" w:rsidRPr="00C45A31">
        <w:rPr>
          <w:rFonts w:cs="Arial"/>
        </w:rPr>
        <w:t>Buy</w:t>
      </w:r>
      <w:proofErr w:type="gramEnd"/>
      <w:r w:rsidR="002B7478" w:rsidRPr="00C45A31">
        <w:rPr>
          <w:rFonts w:cs="Arial"/>
        </w:rPr>
        <w:t xml:space="preserve"> properties would need to be repurchased. </w:t>
      </w:r>
      <w:r w:rsidR="00E30158" w:rsidRPr="00C45A31">
        <w:rPr>
          <w:rFonts w:cs="Arial"/>
        </w:rPr>
        <w:t>The extension of the site is therefore not viable and has not been included in the assessment of options in this report.</w:t>
      </w:r>
    </w:p>
    <w:p w:rsidR="00E30158" w:rsidRPr="00E30158" w:rsidRDefault="00E30158" w:rsidP="00E30158">
      <w:pPr>
        <w:pStyle w:val="ListParagraph"/>
        <w:ind w:left="360"/>
        <w:rPr>
          <w:rFonts w:cs="Arial"/>
        </w:rPr>
      </w:pPr>
    </w:p>
    <w:p w:rsidR="002B7478" w:rsidRPr="00E30158" w:rsidRDefault="00766EC1" w:rsidP="00E30158">
      <w:pPr>
        <w:pStyle w:val="ListParagraph"/>
        <w:numPr>
          <w:ilvl w:val="0"/>
          <w:numId w:val="5"/>
        </w:numPr>
        <w:ind w:left="360"/>
        <w:rPr>
          <w:rFonts w:cs="Arial"/>
        </w:rPr>
      </w:pPr>
      <w:r w:rsidRPr="00E30158">
        <w:rPr>
          <w:rFonts w:cs="Arial"/>
        </w:rPr>
        <w:t xml:space="preserve">If this option is pursued, the aim would be to redevelop the site in the first phase of the HRA new build programme. </w:t>
      </w:r>
      <w:r w:rsidR="00AE5A61" w:rsidRPr="00E30158">
        <w:rPr>
          <w:rFonts w:cs="Arial"/>
        </w:rPr>
        <w:t>A</w:t>
      </w:r>
      <w:r w:rsidRPr="00E30158">
        <w:rPr>
          <w:rFonts w:cs="Arial"/>
        </w:rPr>
        <w:t xml:space="preserve">pproval </w:t>
      </w:r>
      <w:r w:rsidR="00AE5A61" w:rsidRPr="00E30158">
        <w:rPr>
          <w:rFonts w:cs="Arial"/>
        </w:rPr>
        <w:t xml:space="preserve">for the development programme </w:t>
      </w:r>
      <w:r w:rsidRPr="00E30158">
        <w:rPr>
          <w:rFonts w:cs="Arial"/>
        </w:rPr>
        <w:t xml:space="preserve">will be sought from City Executive Board </w:t>
      </w:r>
      <w:r w:rsidR="00AE5A61" w:rsidRPr="00E30158">
        <w:rPr>
          <w:rFonts w:cs="Arial"/>
        </w:rPr>
        <w:t xml:space="preserve">later </w:t>
      </w:r>
      <w:r w:rsidRPr="00E30158">
        <w:rPr>
          <w:rFonts w:cs="Arial"/>
        </w:rPr>
        <w:t>in 2015 and</w:t>
      </w:r>
      <w:r w:rsidR="00AE5A61" w:rsidRPr="00E30158">
        <w:rPr>
          <w:rFonts w:cs="Arial"/>
        </w:rPr>
        <w:t xml:space="preserve">, subject to successful </w:t>
      </w:r>
      <w:proofErr w:type="gramStart"/>
      <w:r w:rsidR="00AE5A61" w:rsidRPr="00E30158">
        <w:rPr>
          <w:rFonts w:cs="Arial"/>
        </w:rPr>
        <w:t>procurement,</w:t>
      </w:r>
      <w:proofErr w:type="gramEnd"/>
      <w:r w:rsidR="00AE5A61" w:rsidRPr="00E30158">
        <w:rPr>
          <w:rFonts w:cs="Arial"/>
        </w:rPr>
        <w:t xml:space="preserve"> works would </w:t>
      </w:r>
      <w:r w:rsidRPr="00E30158">
        <w:rPr>
          <w:rFonts w:cs="Arial"/>
        </w:rPr>
        <w:t xml:space="preserve">start </w:t>
      </w:r>
      <w:r w:rsidR="00AE5A61" w:rsidRPr="00E30158">
        <w:rPr>
          <w:rFonts w:cs="Arial"/>
        </w:rPr>
        <w:t>12 months later.</w:t>
      </w:r>
      <w:r w:rsidR="00343254" w:rsidRPr="00E30158">
        <w:rPr>
          <w:rFonts w:cs="Arial"/>
        </w:rPr>
        <w:t xml:space="preserve">  There are no provisions in the current HRA business plan for new build until 2016/17.</w:t>
      </w:r>
    </w:p>
    <w:p w:rsidR="00343254" w:rsidRPr="00343254" w:rsidRDefault="00343254" w:rsidP="00AE5BA4">
      <w:pPr>
        <w:pStyle w:val="ListParagraph"/>
        <w:rPr>
          <w:rFonts w:cs="Arial"/>
        </w:rPr>
      </w:pPr>
    </w:p>
    <w:p w:rsidR="00156FF1" w:rsidRPr="00F8181B" w:rsidRDefault="00156FF1">
      <w:pPr>
        <w:rPr>
          <w:rFonts w:cs="Arial"/>
          <w:u w:val="single"/>
        </w:rPr>
      </w:pPr>
      <w:r w:rsidRPr="0012437B">
        <w:rPr>
          <w:rFonts w:cs="Arial"/>
          <w:u w:val="single"/>
        </w:rPr>
        <w:t>Option 5</w:t>
      </w:r>
      <w:r w:rsidRPr="00F8181B">
        <w:rPr>
          <w:rFonts w:cs="Arial"/>
          <w:u w:val="single"/>
        </w:rPr>
        <w:t xml:space="preserve"> – </w:t>
      </w:r>
      <w:r w:rsidR="0012437B" w:rsidRPr="00F8181B">
        <w:rPr>
          <w:rFonts w:cs="Arial"/>
          <w:u w:val="single"/>
        </w:rPr>
        <w:t>D</w:t>
      </w:r>
      <w:r w:rsidRPr="00F8181B">
        <w:rPr>
          <w:rFonts w:cs="Arial"/>
          <w:u w:val="single"/>
        </w:rPr>
        <w:t xml:space="preserve">ispose on the open market </w:t>
      </w:r>
    </w:p>
    <w:p w:rsidR="00156FF1" w:rsidRPr="00156FF1" w:rsidRDefault="00156FF1">
      <w:pPr>
        <w:rPr>
          <w:rFonts w:cs="Arial"/>
        </w:rPr>
      </w:pPr>
    </w:p>
    <w:p w:rsidR="00156FF1" w:rsidRPr="00C45A31" w:rsidRDefault="00156FF1" w:rsidP="00C45A31">
      <w:pPr>
        <w:pStyle w:val="ListParagraph"/>
        <w:numPr>
          <w:ilvl w:val="0"/>
          <w:numId w:val="5"/>
        </w:numPr>
        <w:ind w:left="397" w:hanging="397"/>
        <w:rPr>
          <w:rFonts w:cs="Arial"/>
          <w:b/>
        </w:rPr>
      </w:pPr>
      <w:r w:rsidRPr="00C45A31">
        <w:rPr>
          <w:rFonts w:cs="Arial"/>
        </w:rPr>
        <w:t>The indicative value of the site is included in Confid</w:t>
      </w:r>
      <w:r w:rsidR="00E155D4" w:rsidRPr="00C45A31">
        <w:rPr>
          <w:rFonts w:cs="Arial"/>
        </w:rPr>
        <w:t>ential</w:t>
      </w:r>
      <w:r w:rsidRPr="00C45A31">
        <w:rPr>
          <w:rFonts w:cs="Arial"/>
        </w:rPr>
        <w:t xml:space="preserve"> App</w:t>
      </w:r>
      <w:r w:rsidR="00E155D4" w:rsidRPr="00C45A31">
        <w:rPr>
          <w:rFonts w:cs="Arial"/>
        </w:rPr>
        <w:t>endix</w:t>
      </w:r>
      <w:r w:rsidR="0012437B" w:rsidRPr="00C45A31">
        <w:rPr>
          <w:rFonts w:cs="Arial"/>
        </w:rPr>
        <w:t xml:space="preserve"> </w:t>
      </w:r>
      <w:r w:rsidR="00504569" w:rsidRPr="00C45A31">
        <w:rPr>
          <w:rFonts w:cs="Arial"/>
        </w:rPr>
        <w:t>1</w:t>
      </w:r>
      <w:r w:rsidRPr="00C45A31">
        <w:rPr>
          <w:rFonts w:cs="Arial"/>
        </w:rPr>
        <w:t xml:space="preserve">. There is a covenant on the site </w:t>
      </w:r>
      <w:r w:rsidR="004A49E6" w:rsidRPr="00C45A31">
        <w:rPr>
          <w:rFonts w:cs="Arial"/>
        </w:rPr>
        <w:t xml:space="preserve">in favour of the Oxford Preservation Trust that it can only be used for the building of Council homes and this will impact </w:t>
      </w:r>
      <w:r w:rsidR="0012437B" w:rsidRPr="00C45A31">
        <w:rPr>
          <w:rFonts w:cs="Arial"/>
        </w:rPr>
        <w:t xml:space="preserve">negatively on this and reduce </w:t>
      </w:r>
      <w:r w:rsidR="004A49E6" w:rsidRPr="00C45A31">
        <w:rPr>
          <w:rFonts w:cs="Arial"/>
        </w:rPr>
        <w:t xml:space="preserve">the value. </w:t>
      </w:r>
    </w:p>
    <w:p w:rsidR="00D07620" w:rsidRDefault="00D07620">
      <w:pPr>
        <w:rPr>
          <w:rFonts w:cs="Arial"/>
          <w:b/>
        </w:rPr>
      </w:pPr>
    </w:p>
    <w:p w:rsidR="0012437B" w:rsidRPr="00EC323B" w:rsidRDefault="0012437B">
      <w:pPr>
        <w:rPr>
          <w:rFonts w:cs="Arial"/>
          <w:u w:val="single"/>
        </w:rPr>
      </w:pPr>
      <w:r w:rsidRPr="00EC323B">
        <w:rPr>
          <w:rFonts w:cs="Arial"/>
          <w:u w:val="single"/>
        </w:rPr>
        <w:t>Option 6 – Externally lease the property, as is, to another provider</w:t>
      </w:r>
    </w:p>
    <w:p w:rsidR="0012437B" w:rsidRDefault="0012437B">
      <w:pPr>
        <w:rPr>
          <w:rFonts w:cs="Arial"/>
          <w:b/>
        </w:rPr>
      </w:pPr>
    </w:p>
    <w:p w:rsidR="00EC323B" w:rsidRPr="00680BBA" w:rsidRDefault="00680BBA" w:rsidP="00E30158">
      <w:pPr>
        <w:pStyle w:val="ListParagraph"/>
        <w:numPr>
          <w:ilvl w:val="0"/>
          <w:numId w:val="5"/>
        </w:numPr>
        <w:ind w:left="360"/>
        <w:rPr>
          <w:rFonts w:cs="Arial"/>
        </w:rPr>
      </w:pPr>
      <w:r w:rsidRPr="00680BBA">
        <w:rPr>
          <w:rFonts w:cs="Arial"/>
        </w:rPr>
        <w:t>The existing flats could be let for a commercial return on a lease of an appropriate length but this would mean the Council carrying out the upgrading works as</w:t>
      </w:r>
      <w:r w:rsidR="00936416">
        <w:rPr>
          <w:rFonts w:cs="Arial"/>
        </w:rPr>
        <w:t xml:space="preserve"> </w:t>
      </w:r>
      <w:r w:rsidRPr="00680BBA">
        <w:rPr>
          <w:rFonts w:cs="Arial"/>
        </w:rPr>
        <w:t xml:space="preserve">set out in section 1 of the Options Appraisal and </w:t>
      </w:r>
      <w:r w:rsidR="004B3743">
        <w:rPr>
          <w:rFonts w:cs="Arial"/>
        </w:rPr>
        <w:t xml:space="preserve">the Council </w:t>
      </w:r>
      <w:r w:rsidRPr="00680BBA">
        <w:rPr>
          <w:rFonts w:cs="Arial"/>
        </w:rPr>
        <w:t xml:space="preserve">would </w:t>
      </w:r>
      <w:r w:rsidR="004B3743">
        <w:rPr>
          <w:rFonts w:cs="Arial"/>
        </w:rPr>
        <w:t xml:space="preserve">be unable to </w:t>
      </w:r>
      <w:r w:rsidR="00936416">
        <w:rPr>
          <w:rFonts w:cs="Arial"/>
        </w:rPr>
        <w:t xml:space="preserve">meet </w:t>
      </w:r>
      <w:r w:rsidR="004B3743">
        <w:rPr>
          <w:rFonts w:cs="Arial"/>
        </w:rPr>
        <w:t xml:space="preserve">its </w:t>
      </w:r>
      <w:r w:rsidR="00936416">
        <w:rPr>
          <w:rFonts w:cs="Arial"/>
        </w:rPr>
        <w:t xml:space="preserve">objective of </w:t>
      </w:r>
      <w:r w:rsidRPr="00680BBA">
        <w:rPr>
          <w:rFonts w:cs="Arial"/>
        </w:rPr>
        <w:t>develop</w:t>
      </w:r>
      <w:r w:rsidR="00936416">
        <w:rPr>
          <w:rFonts w:cs="Arial"/>
        </w:rPr>
        <w:t xml:space="preserve">ing </w:t>
      </w:r>
      <w:r w:rsidRPr="00680BBA">
        <w:rPr>
          <w:rFonts w:cs="Arial"/>
        </w:rPr>
        <w:t xml:space="preserve">affordable housing to meet housing need. </w:t>
      </w:r>
    </w:p>
    <w:p w:rsidR="00EC323B" w:rsidRPr="00EC323B" w:rsidRDefault="00EC323B" w:rsidP="00E30158">
      <w:pPr>
        <w:rPr>
          <w:rFonts w:cs="Arial"/>
        </w:rPr>
      </w:pPr>
    </w:p>
    <w:p w:rsidR="009D48D0" w:rsidRDefault="00504569" w:rsidP="009D48D0">
      <w:pPr>
        <w:pStyle w:val="ListParagraph"/>
        <w:numPr>
          <w:ilvl w:val="0"/>
          <w:numId w:val="5"/>
        </w:numPr>
        <w:ind w:left="360"/>
        <w:rPr>
          <w:rFonts w:cs="Arial"/>
        </w:rPr>
      </w:pPr>
      <w:r w:rsidRPr="009D48D0">
        <w:rPr>
          <w:rFonts w:cs="Arial"/>
        </w:rPr>
        <w:t>It is possible that a partner organisation may be identified who may want to lease the property for a short term, fixed period.  If let for a 1 year term at social rent, this could generate in the region of £60,000.</w:t>
      </w:r>
    </w:p>
    <w:p w:rsidR="009D48D0" w:rsidRPr="009D48D0" w:rsidRDefault="009D48D0" w:rsidP="009D48D0">
      <w:pPr>
        <w:pStyle w:val="ListParagraph"/>
        <w:rPr>
          <w:rFonts w:cs="Arial"/>
        </w:rPr>
      </w:pPr>
    </w:p>
    <w:p w:rsidR="00504569" w:rsidRPr="009D48D0" w:rsidRDefault="00504569" w:rsidP="009D48D0">
      <w:pPr>
        <w:pStyle w:val="ListParagraph"/>
        <w:numPr>
          <w:ilvl w:val="0"/>
          <w:numId w:val="5"/>
        </w:numPr>
        <w:ind w:left="360"/>
        <w:rPr>
          <w:rFonts w:cs="Arial"/>
        </w:rPr>
      </w:pPr>
      <w:r w:rsidRPr="009D48D0">
        <w:rPr>
          <w:rFonts w:cs="Arial"/>
        </w:rPr>
        <w:t xml:space="preserve">Officers will need to explore this option because it may be possible to accommodate the </w:t>
      </w:r>
      <w:r w:rsidR="00563792" w:rsidRPr="009D48D0">
        <w:rPr>
          <w:rFonts w:cs="Arial"/>
        </w:rPr>
        <w:t xml:space="preserve">short term </w:t>
      </w:r>
      <w:r w:rsidRPr="009D48D0">
        <w:rPr>
          <w:rFonts w:cs="Arial"/>
        </w:rPr>
        <w:t xml:space="preserve">use in tandem with other options, such as in pre contract periods under Option 4. </w:t>
      </w:r>
      <w:r w:rsidR="009D48D0" w:rsidRPr="009D48D0">
        <w:rPr>
          <w:rFonts w:cstheme="minorBidi"/>
          <w:color w:val="000000" w:themeColor="text1"/>
          <w:szCs w:val="22"/>
        </w:rPr>
        <w:t xml:space="preserve">If the pre contract timetable for redevelopment was sufficiently firmed up, and the lead in period long enough to make a short lease worthwhile taking, then consideration would be given to deferring the demolition tender. </w:t>
      </w:r>
      <w:r w:rsidRPr="009D48D0">
        <w:rPr>
          <w:rFonts w:cs="Arial"/>
        </w:rPr>
        <w:t xml:space="preserve">Executive Board is recommended to grant delegated authority to </w:t>
      </w:r>
      <w:r w:rsidR="00305BE4" w:rsidRPr="009D48D0">
        <w:rPr>
          <w:rFonts w:cs="Arial"/>
        </w:rPr>
        <w:t>the Head of Housing and Property</w:t>
      </w:r>
      <w:r w:rsidRPr="009D48D0">
        <w:rPr>
          <w:rFonts w:cs="Arial"/>
        </w:rPr>
        <w:t xml:space="preserve"> to negotiate a short term arrangement if it is feasible and to the Council’s advantage to do so. </w:t>
      </w:r>
    </w:p>
    <w:p w:rsidR="0012437B" w:rsidRDefault="0012437B">
      <w:pPr>
        <w:rPr>
          <w:rFonts w:cs="Arial"/>
          <w:b/>
        </w:rPr>
      </w:pPr>
    </w:p>
    <w:p w:rsidR="00C6296B" w:rsidRPr="00C6296B" w:rsidRDefault="00300C20">
      <w:pPr>
        <w:rPr>
          <w:rFonts w:cs="Arial"/>
          <w:b/>
        </w:rPr>
      </w:pPr>
      <w:r>
        <w:rPr>
          <w:rFonts w:cs="Arial"/>
          <w:b/>
        </w:rPr>
        <w:t>Recommended Option</w:t>
      </w:r>
    </w:p>
    <w:p w:rsidR="00C6296B" w:rsidRDefault="00C6296B">
      <w:pPr>
        <w:rPr>
          <w:rFonts w:cs="Arial"/>
        </w:rPr>
      </w:pPr>
    </w:p>
    <w:p w:rsidR="00E155D4" w:rsidRPr="001B3AC7" w:rsidRDefault="00D07620" w:rsidP="00E30158">
      <w:pPr>
        <w:pStyle w:val="ListParagraph"/>
        <w:numPr>
          <w:ilvl w:val="0"/>
          <w:numId w:val="5"/>
        </w:numPr>
        <w:ind w:left="360"/>
        <w:rPr>
          <w:rFonts w:cs="Arial"/>
        </w:rPr>
      </w:pPr>
      <w:r w:rsidRPr="001B3AC7">
        <w:rPr>
          <w:rFonts w:cs="Arial"/>
        </w:rPr>
        <w:lastRenderedPageBreak/>
        <w:t>Option 4 is recommended</w:t>
      </w:r>
      <w:r w:rsidR="00343254">
        <w:rPr>
          <w:rFonts w:cs="Arial"/>
        </w:rPr>
        <w:t>, subject to</w:t>
      </w:r>
      <w:r w:rsidR="000B7551">
        <w:rPr>
          <w:rFonts w:cs="Arial"/>
        </w:rPr>
        <w:t xml:space="preserve"> an overall affordability check,</w:t>
      </w:r>
      <w:r w:rsidRPr="001B3AC7">
        <w:rPr>
          <w:rFonts w:cs="Arial"/>
        </w:rPr>
        <w:t xml:space="preserve"> because it fits with the Council’s new build ambitions and with the new HRA investment programme, there is the prospect of early delivery of the units</w:t>
      </w:r>
      <w:r w:rsidR="00E96826" w:rsidRPr="001B3AC7">
        <w:rPr>
          <w:rFonts w:cs="Arial"/>
        </w:rPr>
        <w:t xml:space="preserve"> if the site is included in the next development phase. </w:t>
      </w:r>
    </w:p>
    <w:p w:rsidR="00D07620" w:rsidRDefault="00D07620" w:rsidP="00E30158">
      <w:pPr>
        <w:rPr>
          <w:rFonts w:cs="Arial"/>
        </w:rPr>
      </w:pPr>
    </w:p>
    <w:p w:rsidR="00F21980" w:rsidRPr="001B3AC7" w:rsidRDefault="00F21980" w:rsidP="00E30158">
      <w:pPr>
        <w:pStyle w:val="ListParagraph"/>
        <w:numPr>
          <w:ilvl w:val="0"/>
          <w:numId w:val="5"/>
        </w:numPr>
        <w:ind w:left="360"/>
        <w:rPr>
          <w:rFonts w:cs="Arial"/>
        </w:rPr>
      </w:pPr>
      <w:r w:rsidRPr="001B3AC7">
        <w:rPr>
          <w:rFonts w:cs="Arial"/>
        </w:rPr>
        <w:t xml:space="preserve">The aim would be to demolish </w:t>
      </w:r>
      <w:proofErr w:type="spellStart"/>
      <w:r w:rsidRPr="001B3AC7">
        <w:rPr>
          <w:rFonts w:cs="Arial"/>
        </w:rPr>
        <w:t>Cumberlege</w:t>
      </w:r>
      <w:proofErr w:type="spellEnd"/>
      <w:r w:rsidRPr="001B3AC7">
        <w:rPr>
          <w:rFonts w:cs="Arial"/>
        </w:rPr>
        <w:t xml:space="preserve"> House as soon as it is vacated to prevent any adverse attention. </w:t>
      </w:r>
      <w:r w:rsidR="0012437B">
        <w:rPr>
          <w:rFonts w:cs="Arial"/>
        </w:rPr>
        <w:t xml:space="preserve">City </w:t>
      </w:r>
      <w:r w:rsidR="009E2D36" w:rsidRPr="001B3AC7">
        <w:rPr>
          <w:rFonts w:cs="Arial"/>
        </w:rPr>
        <w:t>Executive Board is asked to approve demolition</w:t>
      </w:r>
      <w:r w:rsidR="00EA2CA9">
        <w:rPr>
          <w:rFonts w:cs="Arial"/>
        </w:rPr>
        <w:t xml:space="preserve"> in principle </w:t>
      </w:r>
      <w:r w:rsidR="009E2D36" w:rsidRPr="001B3AC7">
        <w:rPr>
          <w:rFonts w:cs="Arial"/>
        </w:rPr>
        <w:t xml:space="preserve"> and to instruct </w:t>
      </w:r>
      <w:r w:rsidR="002813F2" w:rsidRPr="001B3AC7">
        <w:rPr>
          <w:rFonts w:cs="Arial"/>
        </w:rPr>
        <w:t xml:space="preserve">the Head of Housing &amp; Property to procure the contract to allow works to start </w:t>
      </w:r>
      <w:r w:rsidR="00431F96" w:rsidRPr="001B3AC7">
        <w:rPr>
          <w:rFonts w:cs="Arial"/>
        </w:rPr>
        <w:t xml:space="preserve">either </w:t>
      </w:r>
      <w:r w:rsidR="002813F2" w:rsidRPr="001B3AC7">
        <w:rPr>
          <w:rFonts w:cs="Arial"/>
        </w:rPr>
        <w:t>as soon as the property is vacated</w:t>
      </w:r>
      <w:r w:rsidR="00431F96" w:rsidRPr="001B3AC7">
        <w:rPr>
          <w:rFonts w:cs="Arial"/>
        </w:rPr>
        <w:t xml:space="preserve"> </w:t>
      </w:r>
      <w:r w:rsidR="00EA2CA9">
        <w:rPr>
          <w:rFonts w:cs="Arial"/>
        </w:rPr>
        <w:t xml:space="preserve">and the overall HRA financial position is reassessed </w:t>
      </w:r>
      <w:r w:rsidR="00431F96" w:rsidRPr="001B3AC7">
        <w:rPr>
          <w:rFonts w:cs="Arial"/>
        </w:rPr>
        <w:t xml:space="preserve">or at the expiry of any lease with </w:t>
      </w:r>
      <w:r w:rsidR="0012437B">
        <w:rPr>
          <w:rFonts w:cs="Arial"/>
        </w:rPr>
        <w:t>another provider</w:t>
      </w:r>
      <w:r w:rsidR="002813F2" w:rsidRPr="001B3AC7">
        <w:rPr>
          <w:rFonts w:cs="Arial"/>
        </w:rPr>
        <w:t xml:space="preserve">. </w:t>
      </w:r>
    </w:p>
    <w:p w:rsidR="002813F2" w:rsidRDefault="002813F2">
      <w:pPr>
        <w:rPr>
          <w:rFonts w:cs="Arial"/>
        </w:rPr>
      </w:pPr>
    </w:p>
    <w:p w:rsidR="007B6E54" w:rsidRPr="007B6E54" w:rsidRDefault="007B6E54" w:rsidP="00932471">
      <w:pPr>
        <w:tabs>
          <w:tab w:val="left" w:pos="426"/>
        </w:tabs>
        <w:rPr>
          <w:rFonts w:cs="Arial"/>
          <w:b/>
        </w:rPr>
      </w:pPr>
      <w:r w:rsidRPr="007B6E54">
        <w:rPr>
          <w:rFonts w:cs="Arial"/>
          <w:b/>
        </w:rPr>
        <w:t>Legal Issues</w:t>
      </w:r>
    </w:p>
    <w:p w:rsidR="007B6E54" w:rsidRDefault="007B6E54">
      <w:pPr>
        <w:rPr>
          <w:rFonts w:cs="Arial"/>
          <w:i/>
        </w:rPr>
      </w:pPr>
    </w:p>
    <w:p w:rsidR="001B7D96" w:rsidRPr="00C45A31" w:rsidRDefault="00C45A31" w:rsidP="00C45A31">
      <w:pPr>
        <w:ind w:left="426" w:hanging="426"/>
        <w:rPr>
          <w:rFonts w:cs="Arial"/>
        </w:rPr>
      </w:pPr>
      <w:r w:rsidRPr="00C45A31">
        <w:rPr>
          <w:rFonts w:cs="Arial"/>
        </w:rPr>
        <w:t>24</w:t>
      </w:r>
      <w:r>
        <w:rPr>
          <w:rFonts w:cs="Arial"/>
        </w:rPr>
        <w:t>.</w:t>
      </w:r>
      <w:r>
        <w:rPr>
          <w:rFonts w:cs="Arial"/>
        </w:rPr>
        <w:tab/>
      </w:r>
      <w:r w:rsidR="009E2D36" w:rsidRPr="00C45A31">
        <w:rPr>
          <w:rFonts w:cs="Arial"/>
        </w:rPr>
        <w:t>Any short term use would be secure</w:t>
      </w:r>
      <w:r w:rsidR="0012437B" w:rsidRPr="00C45A31">
        <w:rPr>
          <w:rFonts w:cs="Arial"/>
        </w:rPr>
        <w:t>d</w:t>
      </w:r>
      <w:r w:rsidR="009E2D36" w:rsidRPr="00C45A31">
        <w:rPr>
          <w:rFonts w:cs="Arial"/>
        </w:rPr>
        <w:t xml:space="preserve"> through a </w:t>
      </w:r>
      <w:r w:rsidR="0012437B" w:rsidRPr="00C45A31">
        <w:rPr>
          <w:rFonts w:cs="Arial"/>
        </w:rPr>
        <w:t xml:space="preserve">short </w:t>
      </w:r>
      <w:r w:rsidR="009E2D36" w:rsidRPr="00C45A31">
        <w:rPr>
          <w:rFonts w:cs="Arial"/>
        </w:rPr>
        <w:t>fixed ter</w:t>
      </w:r>
      <w:r w:rsidR="0012437B" w:rsidRPr="00C45A31">
        <w:rPr>
          <w:rFonts w:cs="Arial"/>
        </w:rPr>
        <w:t>m</w:t>
      </w:r>
      <w:r w:rsidR="009E2D36" w:rsidRPr="00C45A31">
        <w:rPr>
          <w:rFonts w:cs="Arial"/>
        </w:rPr>
        <w:t xml:space="preserve"> lease which would be </w:t>
      </w:r>
      <w:r w:rsidR="002276A8" w:rsidRPr="00C45A31">
        <w:rPr>
          <w:rFonts w:cs="Arial"/>
        </w:rPr>
        <w:t xml:space="preserve">outside </w:t>
      </w:r>
      <w:r w:rsidR="00AE5BA4" w:rsidRPr="00C45A31">
        <w:rPr>
          <w:rFonts w:cs="Arial"/>
        </w:rPr>
        <w:t xml:space="preserve">secure </w:t>
      </w:r>
      <w:r w:rsidR="002276A8" w:rsidRPr="00C45A31">
        <w:rPr>
          <w:rFonts w:cs="Arial"/>
        </w:rPr>
        <w:t>tenancy protection</w:t>
      </w:r>
      <w:r w:rsidR="00AE5BA4" w:rsidRPr="00C45A31">
        <w:rPr>
          <w:rFonts w:cs="Arial"/>
        </w:rPr>
        <w:t xml:space="preserve">. In regard to the build, an appropriate contract would need to be let with a building contractor following a suitable competitive procurement exercise. </w:t>
      </w:r>
      <w:r w:rsidR="001B7D96" w:rsidRPr="00C45A31">
        <w:rPr>
          <w:rFonts w:cs="Arial"/>
        </w:rPr>
        <w:t xml:space="preserve"> </w:t>
      </w:r>
    </w:p>
    <w:p w:rsidR="001B7D96" w:rsidRDefault="001B7D96">
      <w:pPr>
        <w:rPr>
          <w:rFonts w:cs="Arial"/>
          <w:i/>
        </w:rPr>
      </w:pPr>
    </w:p>
    <w:p w:rsidR="007B6E54" w:rsidRDefault="007B6E54">
      <w:pPr>
        <w:rPr>
          <w:rFonts w:cs="Arial"/>
          <w:b/>
        </w:rPr>
      </w:pPr>
      <w:r w:rsidRPr="007B6E54">
        <w:rPr>
          <w:rFonts w:cs="Arial"/>
          <w:b/>
        </w:rPr>
        <w:t>Financial Issues</w:t>
      </w:r>
    </w:p>
    <w:p w:rsidR="001B7D96" w:rsidRPr="00DF2351" w:rsidRDefault="001B7D96">
      <w:pPr>
        <w:rPr>
          <w:rFonts w:cs="Arial"/>
        </w:rPr>
      </w:pPr>
    </w:p>
    <w:p w:rsidR="001D68A4" w:rsidRPr="00932471" w:rsidRDefault="001D68A4" w:rsidP="00932471">
      <w:pPr>
        <w:pStyle w:val="ListParagraph"/>
        <w:numPr>
          <w:ilvl w:val="0"/>
          <w:numId w:val="10"/>
        </w:numPr>
        <w:rPr>
          <w:rFonts w:cs="Arial"/>
        </w:rPr>
      </w:pPr>
      <w:r w:rsidRPr="00932471">
        <w:rPr>
          <w:rFonts w:cs="Arial"/>
        </w:rPr>
        <w:t>The new Government is progressing legislation that will extend the Right to Buy to Housing Associations.  Associated with this will be the requirement for all councils with retained housing stock to sell the most expensive properties as they become vacant.  Some of the proceeds of these sales will be used to recompense Housing Associations for the discounts they will have to award under the legislation.  There will therefore be an impact on the Council’s HRA business plan which, until more details are published of the proposals, cannot be fully quantified, however it is clear that the legislation will have a detrimental effect on the Council’s HRA Business Plan and therefore upon its existing HRA priorities.</w:t>
      </w:r>
    </w:p>
    <w:p w:rsidR="001D68A4" w:rsidRDefault="001D68A4" w:rsidP="00E30158">
      <w:pPr>
        <w:pStyle w:val="ListParagraph"/>
        <w:ind w:left="0"/>
        <w:rPr>
          <w:rFonts w:cs="Arial"/>
        </w:rPr>
      </w:pPr>
    </w:p>
    <w:p w:rsidR="001B7D96" w:rsidRPr="001B3AC7" w:rsidRDefault="00EA2CA9" w:rsidP="00932471">
      <w:pPr>
        <w:pStyle w:val="ListParagraph"/>
        <w:numPr>
          <w:ilvl w:val="0"/>
          <w:numId w:val="10"/>
        </w:numPr>
        <w:rPr>
          <w:rFonts w:cs="Arial"/>
        </w:rPr>
      </w:pPr>
      <w:r>
        <w:rPr>
          <w:rFonts w:cs="Arial"/>
        </w:rPr>
        <w:t>There is n</w:t>
      </w:r>
      <w:r w:rsidR="00300C20" w:rsidRPr="001B3AC7">
        <w:rPr>
          <w:rFonts w:cs="Arial"/>
        </w:rPr>
        <w:t>o assump</w:t>
      </w:r>
      <w:r w:rsidR="001B7D96" w:rsidRPr="001B3AC7">
        <w:rPr>
          <w:rFonts w:cs="Arial"/>
        </w:rPr>
        <w:t xml:space="preserve">tion around </w:t>
      </w:r>
      <w:r>
        <w:rPr>
          <w:rFonts w:cs="Arial"/>
        </w:rPr>
        <w:t>the amount of</w:t>
      </w:r>
      <w:r w:rsidR="001B7D96" w:rsidRPr="001B3AC7">
        <w:rPr>
          <w:rFonts w:cs="Arial"/>
        </w:rPr>
        <w:t xml:space="preserve"> capital </w:t>
      </w:r>
      <w:r w:rsidR="00300C20" w:rsidRPr="001B3AC7">
        <w:rPr>
          <w:rFonts w:cs="Arial"/>
        </w:rPr>
        <w:t>receipt</w:t>
      </w:r>
      <w:r w:rsidR="00343254">
        <w:rPr>
          <w:rFonts w:cs="Arial"/>
        </w:rPr>
        <w:t xml:space="preserve"> ari</w:t>
      </w:r>
      <w:r w:rsidR="00300C20" w:rsidRPr="001B3AC7">
        <w:rPr>
          <w:rFonts w:cs="Arial"/>
        </w:rPr>
        <w:t>s</w:t>
      </w:r>
      <w:r w:rsidR="00343254">
        <w:rPr>
          <w:rFonts w:cs="Arial"/>
        </w:rPr>
        <w:t>ing</w:t>
      </w:r>
      <w:r w:rsidR="00300C20" w:rsidRPr="001B3AC7">
        <w:rPr>
          <w:rFonts w:cs="Arial"/>
        </w:rPr>
        <w:t xml:space="preserve"> </w:t>
      </w:r>
      <w:r w:rsidR="001B7D96" w:rsidRPr="001B3AC7">
        <w:rPr>
          <w:rFonts w:cs="Arial"/>
        </w:rPr>
        <w:t>from the disposal o</w:t>
      </w:r>
      <w:r w:rsidR="0012437B">
        <w:rPr>
          <w:rFonts w:cs="Arial"/>
        </w:rPr>
        <w:t>f</w:t>
      </w:r>
      <w:r w:rsidR="001B7D96" w:rsidRPr="001B3AC7">
        <w:rPr>
          <w:rFonts w:cs="Arial"/>
        </w:rPr>
        <w:t xml:space="preserve"> this site in the </w:t>
      </w:r>
      <w:r w:rsidR="00343254">
        <w:rPr>
          <w:rFonts w:cs="Arial"/>
        </w:rPr>
        <w:t>financing of the Council’s capital programme</w:t>
      </w:r>
      <w:r w:rsidR="001B7D96" w:rsidRPr="001B3AC7">
        <w:rPr>
          <w:rFonts w:cs="Arial"/>
        </w:rPr>
        <w:t>.</w:t>
      </w:r>
    </w:p>
    <w:p w:rsidR="001B7D96" w:rsidRPr="00DF2351" w:rsidRDefault="001B7D96" w:rsidP="00E30158">
      <w:pPr>
        <w:tabs>
          <w:tab w:val="left" w:pos="900"/>
        </w:tabs>
        <w:rPr>
          <w:rFonts w:cs="Arial"/>
        </w:rPr>
      </w:pPr>
    </w:p>
    <w:p w:rsidR="001B7D96" w:rsidRPr="001B3AC7" w:rsidRDefault="001B7D96" w:rsidP="00932471">
      <w:pPr>
        <w:pStyle w:val="ListParagraph"/>
        <w:numPr>
          <w:ilvl w:val="0"/>
          <w:numId w:val="10"/>
        </w:numPr>
        <w:rPr>
          <w:rFonts w:cs="Arial"/>
        </w:rPr>
      </w:pPr>
      <w:r w:rsidRPr="001B3AC7">
        <w:rPr>
          <w:rFonts w:cs="Arial"/>
        </w:rPr>
        <w:t xml:space="preserve">Spend on new build development on the site </w:t>
      </w:r>
      <w:r w:rsidR="00300C20" w:rsidRPr="001B3AC7">
        <w:rPr>
          <w:rFonts w:cs="Arial"/>
        </w:rPr>
        <w:t xml:space="preserve">will be contained </w:t>
      </w:r>
      <w:r w:rsidRPr="001B3AC7">
        <w:rPr>
          <w:rFonts w:cs="Arial"/>
        </w:rPr>
        <w:t>with</w:t>
      </w:r>
      <w:r w:rsidR="00300C20" w:rsidRPr="001B3AC7">
        <w:rPr>
          <w:rFonts w:cs="Arial"/>
        </w:rPr>
        <w:t xml:space="preserve">in </w:t>
      </w:r>
      <w:r w:rsidRPr="001B3AC7">
        <w:rPr>
          <w:rFonts w:cs="Arial"/>
        </w:rPr>
        <w:t xml:space="preserve">the </w:t>
      </w:r>
      <w:r w:rsidR="00300C20" w:rsidRPr="001B3AC7">
        <w:rPr>
          <w:rFonts w:cs="Arial"/>
        </w:rPr>
        <w:t xml:space="preserve">cost envelope for </w:t>
      </w:r>
      <w:r w:rsidRPr="001B3AC7">
        <w:rPr>
          <w:rFonts w:cs="Arial"/>
        </w:rPr>
        <w:t xml:space="preserve">the </w:t>
      </w:r>
      <w:r w:rsidR="00300C20" w:rsidRPr="001B3AC7">
        <w:rPr>
          <w:rFonts w:cs="Arial"/>
        </w:rPr>
        <w:t>HRA new build prog</w:t>
      </w:r>
      <w:r w:rsidRPr="001B3AC7">
        <w:rPr>
          <w:rFonts w:cs="Arial"/>
        </w:rPr>
        <w:t>ramme</w:t>
      </w:r>
      <w:r w:rsidR="00300C20" w:rsidRPr="001B3AC7">
        <w:rPr>
          <w:rFonts w:cs="Arial"/>
        </w:rPr>
        <w:t>.</w:t>
      </w:r>
    </w:p>
    <w:p w:rsidR="001B7D96" w:rsidRPr="00DF2351" w:rsidRDefault="001B7D96" w:rsidP="00E30158">
      <w:pPr>
        <w:rPr>
          <w:rFonts w:cs="Arial"/>
        </w:rPr>
      </w:pPr>
    </w:p>
    <w:p w:rsidR="007B6E54" w:rsidRPr="001B3AC7" w:rsidRDefault="00300C20" w:rsidP="00932471">
      <w:pPr>
        <w:pStyle w:val="ListParagraph"/>
        <w:numPr>
          <w:ilvl w:val="0"/>
          <w:numId w:val="10"/>
        </w:numPr>
        <w:rPr>
          <w:rFonts w:cs="Arial"/>
        </w:rPr>
      </w:pPr>
      <w:r w:rsidRPr="001B3AC7">
        <w:rPr>
          <w:rFonts w:cs="Arial"/>
        </w:rPr>
        <w:t xml:space="preserve">Any loss in rental income </w:t>
      </w:r>
      <w:r w:rsidR="001B7D96" w:rsidRPr="001B3AC7">
        <w:rPr>
          <w:rFonts w:cs="Arial"/>
        </w:rPr>
        <w:t xml:space="preserve">from </w:t>
      </w:r>
      <w:r w:rsidR="00DF2351" w:rsidRPr="001B3AC7">
        <w:rPr>
          <w:rFonts w:cs="Arial"/>
        </w:rPr>
        <w:t xml:space="preserve">redevelopment </w:t>
      </w:r>
      <w:r w:rsidRPr="001B3AC7">
        <w:rPr>
          <w:rFonts w:cs="Arial"/>
        </w:rPr>
        <w:t>is within income tolera</w:t>
      </w:r>
      <w:r w:rsidR="00DF2351" w:rsidRPr="001B3AC7">
        <w:rPr>
          <w:rFonts w:cs="Arial"/>
        </w:rPr>
        <w:t>n</w:t>
      </w:r>
      <w:r w:rsidRPr="001B3AC7">
        <w:rPr>
          <w:rFonts w:cs="Arial"/>
        </w:rPr>
        <w:t xml:space="preserve">ces </w:t>
      </w:r>
      <w:r w:rsidR="0012437B">
        <w:rPr>
          <w:rFonts w:cs="Arial"/>
        </w:rPr>
        <w:t>of</w:t>
      </w:r>
      <w:r w:rsidRPr="001B3AC7">
        <w:rPr>
          <w:rFonts w:cs="Arial"/>
        </w:rPr>
        <w:t xml:space="preserve"> </w:t>
      </w:r>
      <w:r w:rsidR="00DF2351" w:rsidRPr="001B3AC7">
        <w:rPr>
          <w:rFonts w:cs="Arial"/>
        </w:rPr>
        <w:t xml:space="preserve">the HRA </w:t>
      </w:r>
      <w:r w:rsidRPr="001B3AC7">
        <w:rPr>
          <w:rFonts w:cs="Arial"/>
        </w:rPr>
        <w:t>B</w:t>
      </w:r>
      <w:r w:rsidR="00DF2351" w:rsidRPr="001B3AC7">
        <w:rPr>
          <w:rFonts w:cs="Arial"/>
        </w:rPr>
        <w:t>usiness Plan</w:t>
      </w:r>
      <w:r w:rsidR="0012437B">
        <w:rPr>
          <w:rFonts w:cs="Arial"/>
        </w:rPr>
        <w:t xml:space="preserve"> and would be mitigated to some degree by the additional new build units developed.</w:t>
      </w:r>
    </w:p>
    <w:p w:rsidR="00300C20" w:rsidRPr="00DF2351" w:rsidRDefault="00300C20">
      <w:pPr>
        <w:rPr>
          <w:rFonts w:cs="Arial"/>
        </w:rPr>
      </w:pPr>
    </w:p>
    <w:p w:rsidR="007B6E54" w:rsidRDefault="007B6E54">
      <w:pPr>
        <w:rPr>
          <w:rFonts w:cs="Arial"/>
          <w:b/>
        </w:rPr>
      </w:pPr>
      <w:r>
        <w:rPr>
          <w:rFonts w:cs="Arial"/>
          <w:b/>
        </w:rPr>
        <w:t>Environmental Impact</w:t>
      </w:r>
    </w:p>
    <w:p w:rsidR="007B6E54" w:rsidRPr="00E96826" w:rsidRDefault="007B6E54">
      <w:pPr>
        <w:rPr>
          <w:rFonts w:cs="Arial"/>
        </w:rPr>
      </w:pPr>
    </w:p>
    <w:p w:rsidR="00DF2351" w:rsidRPr="00932471" w:rsidRDefault="00932471" w:rsidP="00932471">
      <w:pPr>
        <w:ind w:left="340" w:hanging="340"/>
        <w:rPr>
          <w:rFonts w:cs="Arial"/>
        </w:rPr>
      </w:pPr>
      <w:r>
        <w:rPr>
          <w:rFonts w:cs="Arial"/>
        </w:rPr>
        <w:t>29.</w:t>
      </w:r>
      <w:r w:rsidRPr="00932471">
        <w:rPr>
          <w:rFonts w:cs="Arial"/>
        </w:rPr>
        <w:tab/>
      </w:r>
      <w:r w:rsidR="009E2D36" w:rsidRPr="00932471">
        <w:rPr>
          <w:rFonts w:cs="Arial"/>
        </w:rPr>
        <w:t>The replacement of older housing stock with new thermally efficient housing will deliver significant carbon reduction. The tenants of the new housing will also benefit from fuel efficient heating which will address fuel poverty and increase sustainability on a number of fronts</w:t>
      </w:r>
    </w:p>
    <w:p w:rsidR="009E2D36" w:rsidRPr="00E96826" w:rsidRDefault="009E2D36">
      <w:pPr>
        <w:rPr>
          <w:rFonts w:cs="Arial"/>
        </w:rPr>
      </w:pPr>
    </w:p>
    <w:p w:rsidR="00C065E2" w:rsidRDefault="007B6E54">
      <w:pPr>
        <w:rPr>
          <w:rFonts w:cs="Arial"/>
          <w:b/>
        </w:rPr>
      </w:pPr>
      <w:r w:rsidRPr="00C065E2">
        <w:rPr>
          <w:rFonts w:cs="Arial"/>
          <w:b/>
        </w:rPr>
        <w:lastRenderedPageBreak/>
        <w:t>Level of Risk</w:t>
      </w:r>
    </w:p>
    <w:p w:rsidR="00EC323B" w:rsidRDefault="00EC323B" w:rsidP="00C065E2">
      <w:pPr>
        <w:rPr>
          <w:rFonts w:cs="Arial"/>
          <w:b/>
        </w:rPr>
      </w:pPr>
    </w:p>
    <w:p w:rsidR="00EC323B" w:rsidRPr="00932471" w:rsidRDefault="00932471" w:rsidP="00932471">
      <w:pPr>
        <w:ind w:left="340" w:hanging="340"/>
        <w:rPr>
          <w:rFonts w:cs="Arial"/>
        </w:rPr>
      </w:pPr>
      <w:r w:rsidRPr="00932471">
        <w:rPr>
          <w:rFonts w:cs="Arial"/>
        </w:rPr>
        <w:t>3</w:t>
      </w:r>
      <w:r>
        <w:rPr>
          <w:rFonts w:cs="Arial"/>
        </w:rPr>
        <w:t>0</w:t>
      </w:r>
      <w:r w:rsidRPr="00932471">
        <w:rPr>
          <w:rFonts w:cs="Arial"/>
        </w:rPr>
        <w:tab/>
      </w:r>
      <w:r w:rsidR="00EC323B" w:rsidRPr="00932471">
        <w:rPr>
          <w:rFonts w:cs="Arial"/>
        </w:rPr>
        <w:t>A risk register is attached as Appendix 2</w:t>
      </w:r>
    </w:p>
    <w:p w:rsidR="00EC323B" w:rsidRPr="00EC323B" w:rsidRDefault="00EC323B" w:rsidP="00EC323B">
      <w:pPr>
        <w:rPr>
          <w:rFonts w:cs="Arial"/>
          <w:b/>
        </w:rPr>
      </w:pPr>
    </w:p>
    <w:p w:rsidR="00F4367A" w:rsidRPr="00C065E2" w:rsidRDefault="007B6E54" w:rsidP="00C065E2">
      <w:pPr>
        <w:rPr>
          <w:rFonts w:cs="Arial"/>
        </w:rPr>
      </w:pPr>
      <w:r w:rsidRPr="00C065E2">
        <w:rPr>
          <w:rFonts w:cs="Arial"/>
          <w:b/>
        </w:rPr>
        <w:t>Equalities Impact</w:t>
      </w:r>
    </w:p>
    <w:p w:rsidR="00713675" w:rsidRPr="00EC323B" w:rsidRDefault="00713675" w:rsidP="00713675"/>
    <w:p w:rsidR="00EC323B" w:rsidRDefault="00932471" w:rsidP="00932471">
      <w:pPr>
        <w:ind w:left="340" w:hanging="340"/>
      </w:pPr>
      <w:r>
        <w:t>31.</w:t>
      </w:r>
      <w:r>
        <w:tab/>
      </w:r>
      <w:r w:rsidR="00EC323B">
        <w:t>An Equalities Impact Assessment is attached as Appendix 3</w:t>
      </w:r>
    </w:p>
    <w:p w:rsidR="00EC323B" w:rsidRPr="00EC323B" w:rsidRDefault="00EC323B" w:rsidP="00EC323B"/>
    <w:p w:rsidR="00EC323B" w:rsidRPr="00EC323B" w:rsidRDefault="00EC323B" w:rsidP="00713675"/>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9E2D36" w:rsidP="00855C66">
            <w:pPr>
              <w:tabs>
                <w:tab w:val="left" w:pos="720"/>
                <w:tab w:val="left" w:pos="1440"/>
                <w:tab w:val="left" w:pos="2160"/>
                <w:tab w:val="left" w:pos="2880"/>
              </w:tabs>
            </w:pPr>
            <w:r>
              <w:t xml:space="preserve">Steve </w:t>
            </w:r>
            <w:proofErr w:type="spellStart"/>
            <w:r>
              <w:t>Northey</w:t>
            </w:r>
            <w:proofErr w:type="spellEnd"/>
          </w:p>
        </w:tc>
      </w:tr>
      <w:tr w:rsidR="00713675">
        <w:tc>
          <w:tcPr>
            <w:tcW w:w="8522" w:type="dxa"/>
          </w:tcPr>
          <w:p w:rsidR="00713675" w:rsidRDefault="009E2D36" w:rsidP="009E2D36">
            <w:pPr>
              <w:tabs>
                <w:tab w:val="left" w:pos="720"/>
                <w:tab w:val="left" w:pos="1440"/>
                <w:tab w:val="left" w:pos="2160"/>
                <w:tab w:val="left" w:pos="2880"/>
              </w:tabs>
            </w:pPr>
            <w:r>
              <w:t>Affordable Housing Officer</w:t>
            </w:r>
          </w:p>
        </w:tc>
      </w:tr>
      <w:tr w:rsidR="00713675">
        <w:tc>
          <w:tcPr>
            <w:tcW w:w="8522" w:type="dxa"/>
          </w:tcPr>
          <w:p w:rsidR="00713675" w:rsidRDefault="009E2D36" w:rsidP="0012437B">
            <w:pPr>
              <w:tabs>
                <w:tab w:val="left" w:pos="720"/>
                <w:tab w:val="left" w:pos="1440"/>
                <w:tab w:val="left" w:pos="2160"/>
                <w:tab w:val="left" w:pos="2880"/>
              </w:tabs>
            </w:pPr>
            <w:r>
              <w:t>Housing and Property</w:t>
            </w:r>
          </w:p>
        </w:tc>
      </w:tr>
      <w:tr w:rsidR="00713675">
        <w:tc>
          <w:tcPr>
            <w:tcW w:w="8522" w:type="dxa"/>
          </w:tcPr>
          <w:p w:rsidR="009E2D36" w:rsidRDefault="00713675" w:rsidP="009E2D36">
            <w:pPr>
              <w:tabs>
                <w:tab w:val="left" w:pos="720"/>
                <w:tab w:val="left" w:pos="1440"/>
                <w:tab w:val="left" w:pos="2160"/>
                <w:tab w:val="left" w:pos="2880"/>
              </w:tabs>
            </w:pPr>
            <w:r>
              <w:t xml:space="preserve">Tel:  01865 </w:t>
            </w:r>
            <w:r w:rsidR="009E2D36">
              <w:t>252717</w:t>
            </w:r>
            <w:r>
              <w:t xml:space="preserve"> email: </w:t>
            </w:r>
            <w:hyperlink r:id="rId11" w:history="1">
              <w:r w:rsidR="009E2D36" w:rsidRPr="00360B76">
                <w:rPr>
                  <w:rStyle w:val="Hyperlink"/>
                </w:rPr>
                <w:t>snorthey@oxford.gov.uk</w:t>
              </w:r>
            </w:hyperlink>
          </w:p>
          <w:p w:rsidR="00713675" w:rsidRDefault="009E2D36" w:rsidP="009E2D36">
            <w:pPr>
              <w:tabs>
                <w:tab w:val="left" w:pos="720"/>
                <w:tab w:val="left" w:pos="1440"/>
                <w:tab w:val="left" w:pos="2160"/>
                <w:tab w:val="left" w:pos="2880"/>
              </w:tabs>
              <w:rPr>
                <w:color w:val="0000FF"/>
                <w:u w:val="single"/>
              </w:rPr>
            </w:pPr>
            <w:r>
              <w:t xml:space="preserve"> </w:t>
            </w:r>
            <w:r w:rsidR="00713675">
              <w:t xml:space="preserve"> </w:t>
            </w:r>
          </w:p>
        </w:tc>
      </w:tr>
    </w:tbl>
    <w:p w:rsidR="00F4367A" w:rsidRDefault="00F4367A">
      <w:pPr>
        <w:rPr>
          <w:rFonts w:cs="Arial"/>
          <w:b/>
          <w:bCs/>
          <w:sz w:val="20"/>
        </w:rPr>
      </w:pPr>
    </w:p>
    <w:sectPr w:rsidR="00F4367A">
      <w:pgSz w:w="11906" w:h="16838"/>
      <w:pgMar w:top="1440" w:right="1800" w:bottom="1440" w:left="1800" w:header="708" w:footer="1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4A78A" w15:done="0"/>
  <w15:commentEx w15:paraId="2F58B1EE" w15:paraIdParent="6F74A78A" w15:done="0"/>
  <w15:commentEx w15:paraId="694C397D" w15:done="0"/>
  <w15:commentEx w15:paraId="2C466107" w15:done="0"/>
  <w15:commentEx w15:paraId="1733D7E3" w15:done="0"/>
  <w15:commentEx w15:paraId="3AEDEC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F1" w:rsidRDefault="002142F1">
      <w:r>
        <w:separator/>
      </w:r>
    </w:p>
  </w:endnote>
  <w:endnote w:type="continuationSeparator" w:id="0">
    <w:p w:rsidR="002142F1" w:rsidRDefault="0021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F1" w:rsidRDefault="002142F1">
      <w:r>
        <w:separator/>
      </w:r>
    </w:p>
  </w:footnote>
  <w:footnote w:type="continuationSeparator" w:id="0">
    <w:p w:rsidR="002142F1" w:rsidRDefault="00214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D5"/>
    <w:multiLevelType w:val="hybridMultilevel"/>
    <w:tmpl w:val="D5FA667C"/>
    <w:lvl w:ilvl="0" w:tplc="9536AC44">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236E87"/>
    <w:multiLevelType w:val="hybridMultilevel"/>
    <w:tmpl w:val="FBD0F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C1761"/>
    <w:multiLevelType w:val="hybridMultilevel"/>
    <w:tmpl w:val="DCA074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7647E6"/>
    <w:multiLevelType w:val="hybridMultilevel"/>
    <w:tmpl w:val="024C5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B6B26"/>
    <w:multiLevelType w:val="hybridMultilevel"/>
    <w:tmpl w:val="C5A25B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0A5B79"/>
    <w:multiLevelType w:val="hybridMultilevel"/>
    <w:tmpl w:val="D9EA690C"/>
    <w:lvl w:ilvl="0" w:tplc="809AF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77E01"/>
    <w:multiLevelType w:val="hybridMultilevel"/>
    <w:tmpl w:val="A89AA5FA"/>
    <w:lvl w:ilvl="0" w:tplc="72827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D7523B"/>
    <w:multiLevelType w:val="hybridMultilevel"/>
    <w:tmpl w:val="46B890F4"/>
    <w:lvl w:ilvl="0" w:tplc="9536AC44">
      <w:start w:val="1"/>
      <w:numFmt w:val="decimal"/>
      <w:lvlText w:val="%1."/>
      <w:lvlJc w:val="left"/>
      <w:pPr>
        <w:ind w:left="1211"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751C85"/>
    <w:multiLevelType w:val="hybridMultilevel"/>
    <w:tmpl w:val="977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E5BA2"/>
    <w:multiLevelType w:val="hybridMultilevel"/>
    <w:tmpl w:val="29F4C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7"/>
  </w:num>
  <w:num w:numId="6">
    <w:abstractNumId w:val="4"/>
  </w:num>
  <w:num w:numId="7">
    <w:abstractNumId w:val="1"/>
  </w:num>
  <w:num w:numId="8">
    <w:abstractNumId w:val="2"/>
  </w:num>
  <w:num w:numId="9">
    <w:abstractNumId w:val="9"/>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Northey">
    <w15:presenceInfo w15:providerId="None" w15:userId="Steve North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5748"/>
    <w:rsid w:val="0005130E"/>
    <w:rsid w:val="00056263"/>
    <w:rsid w:val="000966D3"/>
    <w:rsid w:val="000B7551"/>
    <w:rsid w:val="000C3928"/>
    <w:rsid w:val="0012437B"/>
    <w:rsid w:val="00156FF1"/>
    <w:rsid w:val="00160144"/>
    <w:rsid w:val="001A6B46"/>
    <w:rsid w:val="001B3AC7"/>
    <w:rsid w:val="001B7D96"/>
    <w:rsid w:val="001D68A4"/>
    <w:rsid w:val="002104F3"/>
    <w:rsid w:val="002142F1"/>
    <w:rsid w:val="002276A8"/>
    <w:rsid w:val="002813F2"/>
    <w:rsid w:val="002B7478"/>
    <w:rsid w:val="00300C20"/>
    <w:rsid w:val="00305BE4"/>
    <w:rsid w:val="00311D09"/>
    <w:rsid w:val="00343254"/>
    <w:rsid w:val="00376D5F"/>
    <w:rsid w:val="00390506"/>
    <w:rsid w:val="003E3BA2"/>
    <w:rsid w:val="003E48E9"/>
    <w:rsid w:val="003E5150"/>
    <w:rsid w:val="00431F96"/>
    <w:rsid w:val="00457C07"/>
    <w:rsid w:val="00465EAF"/>
    <w:rsid w:val="004A49E6"/>
    <w:rsid w:val="004B3743"/>
    <w:rsid w:val="004E7477"/>
    <w:rsid w:val="00504569"/>
    <w:rsid w:val="0052634D"/>
    <w:rsid w:val="005409E1"/>
    <w:rsid w:val="00557A84"/>
    <w:rsid w:val="0056116B"/>
    <w:rsid w:val="00563792"/>
    <w:rsid w:val="00573670"/>
    <w:rsid w:val="005C4D93"/>
    <w:rsid w:val="005E2917"/>
    <w:rsid w:val="00623C2F"/>
    <w:rsid w:val="006634E4"/>
    <w:rsid w:val="00680BBA"/>
    <w:rsid w:val="006953B1"/>
    <w:rsid w:val="006E3B55"/>
    <w:rsid w:val="006F416B"/>
    <w:rsid w:val="007044A9"/>
    <w:rsid w:val="00710525"/>
    <w:rsid w:val="00713675"/>
    <w:rsid w:val="00766EC1"/>
    <w:rsid w:val="00795B33"/>
    <w:rsid w:val="007B6E54"/>
    <w:rsid w:val="008351CD"/>
    <w:rsid w:val="00855C66"/>
    <w:rsid w:val="008D3DDB"/>
    <w:rsid w:val="008E20EB"/>
    <w:rsid w:val="008E7637"/>
    <w:rsid w:val="00932471"/>
    <w:rsid w:val="00936416"/>
    <w:rsid w:val="00971689"/>
    <w:rsid w:val="00973E90"/>
    <w:rsid w:val="00987EF6"/>
    <w:rsid w:val="009B179D"/>
    <w:rsid w:val="009D48D0"/>
    <w:rsid w:val="009E2D36"/>
    <w:rsid w:val="00A44D09"/>
    <w:rsid w:val="00A64E3A"/>
    <w:rsid w:val="00A92D8F"/>
    <w:rsid w:val="00AC3C5F"/>
    <w:rsid w:val="00AD3292"/>
    <w:rsid w:val="00AE5A61"/>
    <w:rsid w:val="00AE5AB8"/>
    <w:rsid w:val="00AE5BA4"/>
    <w:rsid w:val="00B94F49"/>
    <w:rsid w:val="00BB5EA2"/>
    <w:rsid w:val="00BD2753"/>
    <w:rsid w:val="00C065E2"/>
    <w:rsid w:val="00C2692F"/>
    <w:rsid w:val="00C45A31"/>
    <w:rsid w:val="00C60F3E"/>
    <w:rsid w:val="00C6296B"/>
    <w:rsid w:val="00CC3662"/>
    <w:rsid w:val="00D07620"/>
    <w:rsid w:val="00D739C3"/>
    <w:rsid w:val="00D74D72"/>
    <w:rsid w:val="00D801CB"/>
    <w:rsid w:val="00DF2351"/>
    <w:rsid w:val="00DF70EA"/>
    <w:rsid w:val="00E01F42"/>
    <w:rsid w:val="00E155D4"/>
    <w:rsid w:val="00E30158"/>
    <w:rsid w:val="00E96826"/>
    <w:rsid w:val="00EA0DB1"/>
    <w:rsid w:val="00EA2CA9"/>
    <w:rsid w:val="00EA2FDD"/>
    <w:rsid w:val="00EC323B"/>
    <w:rsid w:val="00F21980"/>
    <w:rsid w:val="00F4367A"/>
    <w:rsid w:val="00F64283"/>
    <w:rsid w:val="00F7606D"/>
    <w:rsid w:val="00F8181B"/>
    <w:rsid w:val="00FA272B"/>
    <w:rsid w:val="00FA624C"/>
    <w:rsid w:val="00FD01B3"/>
    <w:rsid w:val="00FD34CA"/>
    <w:rsid w:val="00FE4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62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6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orthey@oxford.gov.uk"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0CAF-820E-4EDA-975A-963BAAAD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B17A0723</Template>
  <TotalTime>9</TotalTime>
  <Pages>6</Pages>
  <Words>1850</Words>
  <Characters>9330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7</cp:revision>
  <cp:lastPrinted>2015-05-28T14:37:00Z</cp:lastPrinted>
  <dcterms:created xsi:type="dcterms:W3CDTF">2015-06-16T14:17:00Z</dcterms:created>
  <dcterms:modified xsi:type="dcterms:W3CDTF">2015-07-01T13:15:00Z</dcterms:modified>
</cp:coreProperties>
</file>